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52BF2E3B" w:rsidR="001868D0" w:rsidRDefault="2464A113" w:rsidP="2C97A8F0">
      <w:r>
        <w:t xml:space="preserve">                                              </w:t>
      </w:r>
      <w:r>
        <w:br/>
        <w:t xml:space="preserve">                                               </w:t>
      </w:r>
      <w:r w:rsidR="4664391C">
        <w:rPr>
          <w:noProof/>
        </w:rPr>
        <w:drawing>
          <wp:inline distT="0" distB="0" distL="0" distR="0" wp14:anchorId="74C36A9F" wp14:editId="4ABCF8E4">
            <wp:extent cx="5715000" cy="419100"/>
            <wp:effectExtent l="0" t="0" r="0" b="0"/>
            <wp:docPr id="922801221" name="Picture 92280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15000" cy="419100"/>
                    </a:xfrm>
                    <a:prstGeom prst="rect">
                      <a:avLst/>
                    </a:prstGeom>
                  </pic:spPr>
                </pic:pic>
              </a:graphicData>
            </a:graphic>
          </wp:inline>
        </w:drawing>
      </w:r>
      <w:r>
        <w:br/>
      </w:r>
      <w:r>
        <w:br/>
        <w:t xml:space="preserve">        </w:t>
      </w:r>
    </w:p>
    <w:p w14:paraId="1A124E67" w14:textId="0179727F" w:rsidR="5A30EB54" w:rsidRDefault="008B60E6" w:rsidP="6E2AD1E6">
      <w:pPr>
        <w:rPr>
          <w:b/>
          <w:bCs/>
          <w:sz w:val="52"/>
          <w:szCs w:val="52"/>
        </w:rPr>
      </w:pPr>
      <w:r>
        <w:rPr>
          <w:b/>
          <w:bCs/>
          <w:sz w:val="52"/>
          <w:szCs w:val="52"/>
        </w:rPr>
        <w:t xml:space="preserve">UK </w:t>
      </w:r>
      <w:r w:rsidR="5A30EB54" w:rsidRPr="6E2AD1E6">
        <w:rPr>
          <w:b/>
          <w:bCs/>
          <w:sz w:val="52"/>
          <w:szCs w:val="52"/>
        </w:rPr>
        <w:t xml:space="preserve">Shared Prosperity Fund </w:t>
      </w:r>
      <w:r>
        <w:rPr>
          <w:b/>
          <w:bCs/>
          <w:sz w:val="52"/>
          <w:szCs w:val="52"/>
        </w:rPr>
        <w:t>People &amp; Skills call for projects – Community-led employment support</w:t>
      </w:r>
      <w:r w:rsidR="5A30EB54" w:rsidRPr="6E2AD1E6">
        <w:rPr>
          <w:b/>
          <w:bCs/>
          <w:sz w:val="52"/>
          <w:szCs w:val="52"/>
        </w:rPr>
        <w:t>– Frequently Asked Questions</w:t>
      </w:r>
    </w:p>
    <w:p w14:paraId="30E95597" w14:textId="1D6E07F0" w:rsidR="6E2AD1E6" w:rsidRDefault="6E2AD1E6" w:rsidP="6E2AD1E6"/>
    <w:p w14:paraId="08977B5C" w14:textId="61C82A0F" w:rsidR="495094C7" w:rsidRDefault="495094C7" w:rsidP="6E2AD1E6">
      <w:r>
        <w:t>The UK Shared Prosperity Fund is part of the Government's Levelling Up programme</w:t>
      </w:r>
      <w:r w:rsidR="6D2823D5">
        <w:t xml:space="preserve"> aiming to level up all parts of the UK</w:t>
      </w:r>
      <w:r>
        <w:t>. The</w:t>
      </w:r>
      <w:r w:rsidR="2815C6B0">
        <w:t xml:space="preserve"> key</w:t>
      </w:r>
      <w:r>
        <w:t xml:space="preserve"> aim of the fund is to:</w:t>
      </w:r>
    </w:p>
    <w:p w14:paraId="4204ABF4" w14:textId="6F4EA2FF" w:rsidR="021315B7" w:rsidRDefault="021315B7" w:rsidP="6E2AD1E6">
      <w:pPr>
        <w:pStyle w:val="ListParagraph"/>
        <w:numPr>
          <w:ilvl w:val="0"/>
          <w:numId w:val="5"/>
        </w:numPr>
      </w:pPr>
      <w:r>
        <w:t xml:space="preserve">Increase productivity, salaries, job opportunities and standards of living through the growth of the </w:t>
      </w:r>
      <w:r w:rsidR="40B7FAE8">
        <w:t>private</w:t>
      </w:r>
      <w:r>
        <w:t xml:space="preserve"> </w:t>
      </w:r>
      <w:proofErr w:type="gramStart"/>
      <w:r>
        <w:t>sector</w:t>
      </w:r>
      <w:r w:rsidR="4698322C">
        <w:t>;</w:t>
      </w:r>
      <w:proofErr w:type="gramEnd"/>
    </w:p>
    <w:p w14:paraId="29D25C91" w14:textId="30E30EFB" w:rsidR="04B4958C" w:rsidRDefault="04B4958C" w:rsidP="6E2AD1E6">
      <w:pPr>
        <w:pStyle w:val="ListParagraph"/>
        <w:numPr>
          <w:ilvl w:val="0"/>
          <w:numId w:val="5"/>
        </w:numPr>
      </w:pPr>
      <w:r>
        <w:t xml:space="preserve">Increase opportunities and improve public services with a focus on areas in the most </w:t>
      </w:r>
      <w:proofErr w:type="gramStart"/>
      <w:r>
        <w:t>need</w:t>
      </w:r>
      <w:r w:rsidR="3FFEECF3">
        <w:t>;</w:t>
      </w:r>
      <w:proofErr w:type="gramEnd"/>
    </w:p>
    <w:p w14:paraId="2D29DF27" w14:textId="3032687E" w:rsidR="33E8A122" w:rsidRDefault="33E8A122" w:rsidP="6E2AD1E6">
      <w:pPr>
        <w:pStyle w:val="ListParagraph"/>
        <w:numPr>
          <w:ilvl w:val="0"/>
          <w:numId w:val="5"/>
        </w:numPr>
      </w:pPr>
      <w:r>
        <w:t xml:space="preserve">Restore a sense of community, local pride and </w:t>
      </w:r>
      <w:proofErr w:type="gramStart"/>
      <w:r>
        <w:t>belonging</w:t>
      </w:r>
      <w:r w:rsidR="7991CA34">
        <w:t>;</w:t>
      </w:r>
      <w:proofErr w:type="gramEnd"/>
    </w:p>
    <w:p w14:paraId="713D8D8A" w14:textId="518272DC" w:rsidR="7991CA34" w:rsidRDefault="7991CA34" w:rsidP="6E2AD1E6">
      <w:pPr>
        <w:pStyle w:val="ListParagraph"/>
        <w:numPr>
          <w:ilvl w:val="0"/>
          <w:numId w:val="5"/>
        </w:numPr>
      </w:pPr>
      <w:r>
        <w:t xml:space="preserve">Empower local businesses, </w:t>
      </w:r>
      <w:proofErr w:type="gramStart"/>
      <w:r>
        <w:t>leaders</w:t>
      </w:r>
      <w:proofErr w:type="gramEnd"/>
      <w:r>
        <w:t xml:space="preserve"> and communities to i</w:t>
      </w:r>
      <w:r w:rsidR="4FA6C513">
        <w:t xml:space="preserve">ncrease </w:t>
      </w:r>
      <w:r>
        <w:t>the opportunities available to them</w:t>
      </w:r>
      <w:r w:rsidR="1F3DE640">
        <w:t xml:space="preserve">. </w:t>
      </w:r>
    </w:p>
    <w:p w14:paraId="3376C174" w14:textId="59C0484C" w:rsidR="002F75FD" w:rsidRDefault="00EA09E6" w:rsidP="003F3783">
      <w:r>
        <w:t>In addition to the questions below and information contained within the application guidance document, p</w:t>
      </w:r>
      <w:r w:rsidR="009F2FA1">
        <w:t xml:space="preserve">otential </w:t>
      </w:r>
      <w:r w:rsidR="003F3783">
        <w:t xml:space="preserve">bidders have until 5pm on Friday 5 January 2024 to </w:t>
      </w:r>
      <w:r w:rsidR="00CD6CDF">
        <w:t>address</w:t>
      </w:r>
      <w:r w:rsidR="000E1755">
        <w:t xml:space="preserve"> </w:t>
      </w:r>
      <w:r w:rsidR="003F3783">
        <w:t xml:space="preserve">any questions </w:t>
      </w:r>
      <w:r w:rsidR="00D86346">
        <w:t>on</w:t>
      </w:r>
      <w:r w:rsidR="003F3783">
        <w:t xml:space="preserve"> the call to </w:t>
      </w:r>
      <w:hyperlink r:id="rId11" w:history="1">
        <w:r w:rsidR="001D650F" w:rsidRPr="00F2746F">
          <w:rPr>
            <w:rStyle w:val="Hyperlink"/>
          </w:rPr>
          <w:t>UKSPF@liverpoolcityregion-ca.gov.uk</w:t>
        </w:r>
      </w:hyperlink>
      <w:r w:rsidR="001D650F">
        <w:t xml:space="preserve"> </w:t>
      </w:r>
    </w:p>
    <w:p w14:paraId="03701E23" w14:textId="2B9F00B3" w:rsidR="005E7016" w:rsidRDefault="005E7016">
      <w:pPr>
        <w:rPr>
          <w:rFonts w:asciiTheme="majorHAnsi" w:eastAsiaTheme="majorEastAsia" w:hAnsiTheme="majorHAnsi" w:cstheme="majorBidi"/>
          <w:color w:val="2F5496" w:themeColor="accent1" w:themeShade="BF"/>
          <w:sz w:val="32"/>
          <w:szCs w:val="32"/>
        </w:rPr>
      </w:pPr>
      <w:r>
        <w:br w:type="page"/>
      </w:r>
    </w:p>
    <w:p w14:paraId="2122E0F2" w14:textId="3EB36680" w:rsidR="00885FBD" w:rsidRDefault="00885FBD" w:rsidP="008F2BE0">
      <w:pPr>
        <w:pStyle w:val="Heading1"/>
        <w:spacing w:before="0"/>
      </w:pPr>
      <w:r>
        <w:lastRenderedPageBreak/>
        <w:t>General Questions</w:t>
      </w:r>
    </w:p>
    <w:p w14:paraId="1C252123" w14:textId="77777777" w:rsidR="00885FBD" w:rsidRPr="0002797E" w:rsidRDefault="00885FBD" w:rsidP="008F2BE0">
      <w:pPr>
        <w:spacing w:after="0"/>
        <w:rPr>
          <w:b/>
          <w:bCs/>
        </w:rPr>
      </w:pPr>
      <w:r w:rsidRPr="0002797E">
        <w:rPr>
          <w:b/>
          <w:bCs/>
        </w:rPr>
        <w:t xml:space="preserve">How much funding is available for this project and what is it to be used for? </w:t>
      </w:r>
    </w:p>
    <w:p w14:paraId="5774FA47" w14:textId="74BE19BE" w:rsidR="00885FBD" w:rsidRDefault="00885FBD" w:rsidP="008F2BE0">
      <w:pPr>
        <w:spacing w:after="0"/>
      </w:pPr>
      <w:r>
        <w:t>There is £3,350,000 of funding available to deliver community-led employment support.  Funding of between £0.5m and £1m will be awarded to help economically inactive and socially excluded individuals to engage with a key worker to access support services and find employment or enter training or education.</w:t>
      </w:r>
    </w:p>
    <w:p w14:paraId="59D554D5" w14:textId="77777777" w:rsidR="0002797E" w:rsidRDefault="0002797E" w:rsidP="008F2BE0">
      <w:pPr>
        <w:spacing w:after="0"/>
      </w:pPr>
    </w:p>
    <w:p w14:paraId="3DB26955" w14:textId="77777777" w:rsidR="00885FBD" w:rsidRPr="0002797E" w:rsidRDefault="00885FBD" w:rsidP="008F2BE0">
      <w:pPr>
        <w:spacing w:after="0"/>
        <w:rPr>
          <w:b/>
          <w:bCs/>
        </w:rPr>
      </w:pPr>
      <w:r w:rsidRPr="0002797E">
        <w:rPr>
          <w:b/>
          <w:bCs/>
        </w:rPr>
        <w:t xml:space="preserve">What is the application process? </w:t>
      </w:r>
    </w:p>
    <w:p w14:paraId="007FBF2B" w14:textId="77777777" w:rsidR="00885FBD" w:rsidRDefault="00885FBD" w:rsidP="008F2BE0">
      <w:pPr>
        <w:spacing w:after="0"/>
      </w:pPr>
      <w:r>
        <w:t xml:space="preserve">The window for applications is: 13/11/2023 –12/01/2024. The closing date for applications is 5pm on 12/01/2024. All applications are to be submitted to </w:t>
      </w:r>
      <w:hyperlink r:id="rId12">
        <w:r w:rsidRPr="72646423">
          <w:rPr>
            <w:rStyle w:val="Hyperlink"/>
          </w:rPr>
          <w:t>UKSPF@liverpoolcityregion-ca.gov.uk</w:t>
        </w:r>
      </w:hyperlink>
      <w:r>
        <w:t xml:space="preserve"> before the deadline.</w:t>
      </w:r>
    </w:p>
    <w:p w14:paraId="5AEDF2DB" w14:textId="77777777" w:rsidR="0002797E" w:rsidRDefault="0002797E" w:rsidP="008F2BE0">
      <w:pPr>
        <w:spacing w:after="0"/>
      </w:pPr>
    </w:p>
    <w:p w14:paraId="3FD58D91" w14:textId="77777777" w:rsidR="00885FBD" w:rsidRPr="0002797E" w:rsidRDefault="00885FBD" w:rsidP="008F2BE0">
      <w:pPr>
        <w:spacing w:after="0"/>
        <w:rPr>
          <w:b/>
          <w:bCs/>
        </w:rPr>
      </w:pPr>
      <w:r w:rsidRPr="0002797E">
        <w:rPr>
          <w:b/>
          <w:bCs/>
        </w:rPr>
        <w:t xml:space="preserve">When will successful bidders be notified? </w:t>
      </w:r>
    </w:p>
    <w:p w14:paraId="7EA4CF50" w14:textId="52E348B4" w:rsidR="00885FBD" w:rsidRDefault="00885FBD" w:rsidP="008F2BE0">
      <w:pPr>
        <w:spacing w:after="0"/>
      </w:pPr>
      <w:r>
        <w:t>Successful applicants will be notified by the end of January 2024.</w:t>
      </w:r>
    </w:p>
    <w:p w14:paraId="0D469881" w14:textId="77777777" w:rsidR="0002797E" w:rsidRDefault="0002797E" w:rsidP="008F2BE0">
      <w:pPr>
        <w:spacing w:after="0"/>
      </w:pPr>
    </w:p>
    <w:p w14:paraId="13B21AFD" w14:textId="633C89AE" w:rsidR="00885FBD" w:rsidRPr="0002797E" w:rsidRDefault="00885FBD" w:rsidP="008F2BE0">
      <w:pPr>
        <w:spacing w:after="0"/>
        <w:rPr>
          <w:b/>
          <w:bCs/>
        </w:rPr>
      </w:pPr>
      <w:r w:rsidRPr="0002797E">
        <w:rPr>
          <w:b/>
          <w:bCs/>
        </w:rPr>
        <w:t xml:space="preserve">When will delivery </w:t>
      </w:r>
      <w:proofErr w:type="gramStart"/>
      <w:r w:rsidRPr="0002797E">
        <w:rPr>
          <w:b/>
          <w:bCs/>
        </w:rPr>
        <w:t>need</w:t>
      </w:r>
      <w:proofErr w:type="gramEnd"/>
      <w:r w:rsidRPr="0002797E">
        <w:rPr>
          <w:b/>
          <w:bCs/>
        </w:rPr>
        <w:t xml:space="preserve"> to commence? </w:t>
      </w:r>
    </w:p>
    <w:p w14:paraId="32C2172E" w14:textId="77777777" w:rsidR="00885FBD" w:rsidRDefault="00885FBD" w:rsidP="008F2BE0">
      <w:pPr>
        <w:spacing w:after="0"/>
      </w:pPr>
      <w:r>
        <w:t>Delivery will need to commence in April 2024.</w:t>
      </w:r>
    </w:p>
    <w:p w14:paraId="5084AD81" w14:textId="77777777" w:rsidR="0002797E" w:rsidRDefault="0002797E" w:rsidP="008F2BE0">
      <w:pPr>
        <w:spacing w:after="0"/>
      </w:pPr>
    </w:p>
    <w:p w14:paraId="5B000D2F" w14:textId="77777777" w:rsidR="00885FBD" w:rsidRPr="0002797E" w:rsidRDefault="00885FBD" w:rsidP="008F2BE0">
      <w:pPr>
        <w:spacing w:after="0"/>
        <w:rPr>
          <w:b/>
          <w:bCs/>
        </w:rPr>
      </w:pPr>
      <w:r w:rsidRPr="0002797E">
        <w:rPr>
          <w:b/>
          <w:bCs/>
        </w:rPr>
        <w:t xml:space="preserve">What are the timescales for delivery? </w:t>
      </w:r>
    </w:p>
    <w:p w14:paraId="2C06BD3C" w14:textId="1E2C1246" w:rsidR="00885FBD" w:rsidRDefault="00885FBD" w:rsidP="008F2BE0">
      <w:pPr>
        <w:spacing w:after="0"/>
      </w:pPr>
      <w:r>
        <w:t>The project is to commence following award of contract in April 2024 and is to run until March 2025. All funding must be spent, and delivery complete by 31 March 2025.</w:t>
      </w:r>
    </w:p>
    <w:p w14:paraId="46023F9A" w14:textId="77777777" w:rsidR="0002797E" w:rsidRDefault="0002797E" w:rsidP="008F2BE0">
      <w:pPr>
        <w:spacing w:after="0"/>
      </w:pPr>
    </w:p>
    <w:p w14:paraId="11274BBE" w14:textId="63FE6831" w:rsidR="00C45E07" w:rsidRDefault="00F47F8F" w:rsidP="008F2BE0">
      <w:pPr>
        <w:spacing w:after="0"/>
        <w:rPr>
          <w:rFonts w:eastAsia="Times New Roman" w:cstheme="minorHAnsi"/>
          <w:b/>
          <w:bCs/>
          <w:color w:val="000000"/>
          <w:lang w:eastAsia="en-GB"/>
        </w:rPr>
      </w:pPr>
      <w:r w:rsidRPr="0002797E">
        <w:rPr>
          <w:rFonts w:eastAsia="Times New Roman" w:cstheme="minorHAnsi"/>
          <w:b/>
          <w:bCs/>
          <w:color w:val="000000"/>
          <w:lang w:eastAsia="en-GB"/>
        </w:rPr>
        <w:t xml:space="preserve">If grant funding has already been received </w:t>
      </w:r>
      <w:r w:rsidR="00631B94">
        <w:rPr>
          <w:rFonts w:eastAsia="Times New Roman" w:cstheme="minorHAnsi"/>
          <w:b/>
          <w:bCs/>
          <w:color w:val="000000"/>
          <w:lang w:eastAsia="en-GB"/>
        </w:rPr>
        <w:t>and</w:t>
      </w:r>
      <w:r w:rsidRPr="0002797E">
        <w:rPr>
          <w:rFonts w:eastAsia="Times New Roman" w:cstheme="minorHAnsi"/>
          <w:b/>
          <w:bCs/>
          <w:color w:val="000000"/>
          <w:lang w:eastAsia="en-GB"/>
        </w:rPr>
        <w:t>/</w:t>
      </w:r>
      <w:r w:rsidR="00631B94">
        <w:rPr>
          <w:rFonts w:eastAsia="Times New Roman" w:cstheme="minorHAnsi"/>
          <w:b/>
          <w:bCs/>
          <w:color w:val="000000"/>
          <w:lang w:eastAsia="en-GB"/>
        </w:rPr>
        <w:t>or</w:t>
      </w:r>
      <w:r w:rsidRPr="0002797E">
        <w:rPr>
          <w:rFonts w:eastAsia="Times New Roman" w:cstheme="minorHAnsi"/>
          <w:b/>
          <w:bCs/>
          <w:color w:val="000000"/>
          <w:lang w:eastAsia="en-GB"/>
        </w:rPr>
        <w:t xml:space="preserve"> businesses are currently under a separate grant funding agreement with </w:t>
      </w:r>
      <w:r w:rsidR="0006042D">
        <w:rPr>
          <w:rFonts w:eastAsia="Times New Roman" w:cstheme="minorHAnsi"/>
          <w:b/>
          <w:bCs/>
          <w:color w:val="000000"/>
          <w:lang w:eastAsia="en-GB"/>
        </w:rPr>
        <w:t>LCR</w:t>
      </w:r>
      <w:r w:rsidRPr="0002797E">
        <w:rPr>
          <w:rFonts w:eastAsia="Times New Roman" w:cstheme="minorHAnsi"/>
          <w:b/>
          <w:bCs/>
          <w:color w:val="000000"/>
          <w:lang w:eastAsia="en-GB"/>
        </w:rPr>
        <w:t>CA</w:t>
      </w:r>
      <w:r w:rsidR="0006042D">
        <w:rPr>
          <w:rFonts w:eastAsia="Times New Roman" w:cstheme="minorHAnsi"/>
          <w:b/>
          <w:bCs/>
          <w:color w:val="000000"/>
          <w:lang w:eastAsia="en-GB"/>
        </w:rPr>
        <w:t>, can they</w:t>
      </w:r>
      <w:r w:rsidRPr="0002797E">
        <w:rPr>
          <w:rFonts w:eastAsia="Times New Roman" w:cstheme="minorHAnsi"/>
          <w:b/>
          <w:bCs/>
          <w:color w:val="000000"/>
          <w:lang w:eastAsia="en-GB"/>
        </w:rPr>
        <w:t xml:space="preserve"> </w:t>
      </w:r>
      <w:r w:rsidR="00C45E07">
        <w:rPr>
          <w:rFonts w:eastAsia="Times New Roman" w:cstheme="minorHAnsi"/>
          <w:b/>
          <w:bCs/>
          <w:color w:val="000000"/>
          <w:lang w:eastAsia="en-GB"/>
        </w:rPr>
        <w:t xml:space="preserve">still </w:t>
      </w:r>
      <w:r w:rsidRPr="0002797E">
        <w:rPr>
          <w:rFonts w:eastAsia="Times New Roman" w:cstheme="minorHAnsi"/>
          <w:b/>
          <w:bCs/>
          <w:color w:val="000000"/>
          <w:lang w:eastAsia="en-GB"/>
        </w:rPr>
        <w:t>apply for this UKSPF funding?</w:t>
      </w:r>
    </w:p>
    <w:p w14:paraId="1834693D" w14:textId="0B7E8E57" w:rsidR="00F47F8F" w:rsidRPr="00C45E07" w:rsidRDefault="0002797E" w:rsidP="008F2BE0">
      <w:pPr>
        <w:spacing w:after="0"/>
        <w:rPr>
          <w:rFonts w:eastAsia="Times New Roman" w:cstheme="minorHAnsi"/>
          <w:b/>
          <w:bCs/>
          <w:color w:val="000000"/>
          <w:lang w:eastAsia="en-GB"/>
        </w:rPr>
      </w:pPr>
      <w:r>
        <w:rPr>
          <w:rFonts w:eastAsia="Times New Roman" w:cstheme="minorHAnsi"/>
          <w:color w:val="000000"/>
          <w:lang w:eastAsia="en-GB"/>
        </w:rPr>
        <w:t>Yes</w:t>
      </w:r>
      <w:r w:rsidR="00D406EB">
        <w:rPr>
          <w:rFonts w:eastAsia="Times New Roman" w:cstheme="minorHAnsi"/>
          <w:color w:val="000000"/>
          <w:lang w:eastAsia="en-GB"/>
        </w:rPr>
        <w:t xml:space="preserve">, organisations who have previously </w:t>
      </w:r>
      <w:r w:rsidR="0006042D">
        <w:rPr>
          <w:rFonts w:eastAsia="Times New Roman" w:cstheme="minorHAnsi"/>
          <w:color w:val="000000"/>
          <w:lang w:eastAsia="en-GB"/>
        </w:rPr>
        <w:t>or are currently receiving funding from LCRCA, can apply for funding under this call.</w:t>
      </w:r>
    </w:p>
    <w:p w14:paraId="22699AEA" w14:textId="77777777" w:rsidR="0006042D" w:rsidRPr="0002797E" w:rsidRDefault="0006042D" w:rsidP="008F2BE0">
      <w:pPr>
        <w:spacing w:after="0"/>
        <w:rPr>
          <w:rFonts w:eastAsia="Times New Roman" w:cstheme="minorHAnsi"/>
          <w:color w:val="000000"/>
          <w:lang w:eastAsia="en-GB"/>
        </w:rPr>
      </w:pPr>
    </w:p>
    <w:p w14:paraId="4F6A23AE" w14:textId="77777777" w:rsidR="00C45E07" w:rsidRPr="00F57F76" w:rsidRDefault="0048629C" w:rsidP="008F2BE0">
      <w:pPr>
        <w:spacing w:after="0"/>
        <w:rPr>
          <w:rFonts w:eastAsia="Times New Roman" w:cstheme="minorHAnsi"/>
          <w:color w:val="000000"/>
          <w:lang w:eastAsia="en-GB"/>
        </w:rPr>
      </w:pPr>
      <w:r w:rsidRPr="00F57F76">
        <w:rPr>
          <w:rFonts w:eastAsia="Times New Roman" w:cstheme="minorHAnsi"/>
          <w:b/>
          <w:bCs/>
          <w:color w:val="000000"/>
          <w:lang w:eastAsia="en-GB"/>
        </w:rPr>
        <w:t>The information about the call for projects says there is £3.35m allocated to community-led employment support strand. Is that full amount to be allocated through this call (i.e. between 4 and 6 different projects, valued between £0.5m and £1m)?</w:t>
      </w:r>
      <w:r w:rsidRPr="00F57F76">
        <w:rPr>
          <w:rFonts w:eastAsia="Times New Roman" w:cstheme="minorHAnsi"/>
          <w:color w:val="000000"/>
          <w:lang w:eastAsia="en-GB"/>
        </w:rPr>
        <w:t xml:space="preserve"> </w:t>
      </w:r>
    </w:p>
    <w:p w14:paraId="0C0E6BC8" w14:textId="70AF1855" w:rsidR="00A52DA3" w:rsidRPr="00701ECD" w:rsidRDefault="009E0631" w:rsidP="008F2BE0">
      <w:pPr>
        <w:spacing w:after="0"/>
        <w:rPr>
          <w:rFonts w:cstheme="minorHAnsi"/>
        </w:rPr>
      </w:pPr>
      <w:r w:rsidRPr="00F57F76">
        <w:rPr>
          <w:rFonts w:cstheme="minorHAnsi"/>
        </w:rPr>
        <w:t>LCRCA</w:t>
      </w:r>
      <w:r w:rsidR="0048629C" w:rsidRPr="00F57F76">
        <w:rPr>
          <w:rFonts w:cstheme="minorHAnsi"/>
        </w:rPr>
        <w:t xml:space="preserve"> </w:t>
      </w:r>
      <w:r w:rsidR="00C865AA" w:rsidRPr="00F57F76">
        <w:rPr>
          <w:rFonts w:eastAsia="Times New Roman" w:cstheme="minorHAnsi"/>
          <w:color w:val="000000"/>
          <w:lang w:eastAsia="en-GB"/>
        </w:rPr>
        <w:t xml:space="preserve">reserve the right to fund multiple projects up to the total available under this </w:t>
      </w:r>
      <w:r w:rsidR="00DC3793" w:rsidRPr="00F57F76">
        <w:rPr>
          <w:rFonts w:eastAsia="Times New Roman" w:cstheme="minorHAnsi"/>
          <w:color w:val="000000"/>
          <w:lang w:eastAsia="en-GB"/>
        </w:rPr>
        <w:t>call but</w:t>
      </w:r>
      <w:r w:rsidR="0048629C" w:rsidRPr="00F57F76">
        <w:rPr>
          <w:rFonts w:cstheme="minorHAnsi"/>
        </w:rPr>
        <w:t xml:space="preserve"> won’t necessarily allocate all the funding if the CA feels there aren’t enough suitable projects.</w:t>
      </w:r>
      <w:r w:rsidR="00701ECD" w:rsidRPr="00F57F76">
        <w:rPr>
          <w:rFonts w:cstheme="minorHAnsi"/>
        </w:rPr>
        <w:t xml:space="preserve"> </w:t>
      </w:r>
      <w:r w:rsidR="00A52DA3" w:rsidRPr="00F57F76">
        <w:rPr>
          <w:rFonts w:eastAsia="Times New Roman" w:cstheme="minorHAnsi"/>
          <w:color w:val="000000"/>
          <w:lang w:eastAsia="en-GB"/>
        </w:rPr>
        <w:t>LCRCA</w:t>
      </w:r>
      <w:r w:rsidR="00D70678" w:rsidRPr="00F57F76">
        <w:rPr>
          <w:rFonts w:eastAsia="Times New Roman" w:cstheme="minorHAnsi"/>
          <w:color w:val="000000"/>
          <w:lang w:eastAsia="en-GB"/>
        </w:rPr>
        <w:t xml:space="preserve">’s funding will depend </w:t>
      </w:r>
      <w:r w:rsidR="00A52DA3" w:rsidRPr="00F57F76">
        <w:rPr>
          <w:rFonts w:eastAsia="Times New Roman" w:cstheme="minorHAnsi"/>
          <w:color w:val="000000"/>
          <w:lang w:eastAsia="en-GB"/>
        </w:rPr>
        <w:t xml:space="preserve">on the quality of bids and </w:t>
      </w:r>
      <w:r w:rsidR="00D70678" w:rsidRPr="00F57F76">
        <w:rPr>
          <w:rFonts w:eastAsia="Times New Roman" w:cstheme="minorHAnsi"/>
          <w:color w:val="000000"/>
          <w:lang w:eastAsia="en-GB"/>
        </w:rPr>
        <w:t xml:space="preserve">how well </w:t>
      </w:r>
      <w:r w:rsidR="00A52DA3" w:rsidRPr="00F57F76">
        <w:rPr>
          <w:rFonts w:eastAsia="Times New Roman" w:cstheme="minorHAnsi"/>
          <w:color w:val="000000"/>
          <w:lang w:eastAsia="en-GB"/>
        </w:rPr>
        <w:t xml:space="preserve">we feel </w:t>
      </w:r>
      <w:r w:rsidR="00D70678" w:rsidRPr="00F57F76">
        <w:rPr>
          <w:rFonts w:eastAsia="Times New Roman" w:cstheme="minorHAnsi"/>
          <w:color w:val="000000"/>
          <w:lang w:eastAsia="en-GB"/>
        </w:rPr>
        <w:t xml:space="preserve">they </w:t>
      </w:r>
      <w:r w:rsidR="00A52DA3" w:rsidRPr="00F57F76">
        <w:rPr>
          <w:rFonts w:eastAsia="Times New Roman" w:cstheme="minorHAnsi"/>
          <w:color w:val="000000"/>
          <w:lang w:eastAsia="en-GB"/>
        </w:rPr>
        <w:t>meet the brief.</w:t>
      </w:r>
    </w:p>
    <w:p w14:paraId="044F3363" w14:textId="77777777" w:rsidR="00F4341A" w:rsidRDefault="00F4341A" w:rsidP="008F2BE0">
      <w:pPr>
        <w:spacing w:after="0"/>
        <w:rPr>
          <w:rFonts w:eastAsia="Times New Roman" w:cstheme="minorHAnsi"/>
          <w:b/>
          <w:bCs/>
          <w:color w:val="000000"/>
          <w:lang w:eastAsia="en-GB"/>
        </w:rPr>
      </w:pPr>
    </w:p>
    <w:p w14:paraId="2286BCDA" w14:textId="60829744" w:rsidR="00BD035E" w:rsidRPr="00BD035E" w:rsidRDefault="00BD035E" w:rsidP="008F2BE0">
      <w:pPr>
        <w:spacing w:after="0"/>
        <w:rPr>
          <w:rFonts w:eastAsia="Times New Roman" w:cstheme="minorHAnsi"/>
          <w:b/>
          <w:bCs/>
          <w:color w:val="000000"/>
          <w:lang w:eastAsia="en-GB"/>
        </w:rPr>
      </w:pPr>
      <w:r w:rsidRPr="00BD035E">
        <w:rPr>
          <w:rFonts w:eastAsia="Times New Roman" w:cstheme="minorHAnsi"/>
          <w:b/>
          <w:bCs/>
          <w:color w:val="000000"/>
          <w:lang w:eastAsia="en-GB"/>
        </w:rPr>
        <w:t xml:space="preserve">Is there a required minimum turnover of the </w:t>
      </w:r>
      <w:r w:rsidR="00C70DA1">
        <w:rPr>
          <w:rFonts w:eastAsia="Times New Roman" w:cstheme="minorHAnsi"/>
          <w:b/>
          <w:bCs/>
          <w:color w:val="000000"/>
          <w:lang w:eastAsia="en-GB"/>
        </w:rPr>
        <w:t>organisations</w:t>
      </w:r>
      <w:r w:rsidR="00C70DA1" w:rsidRPr="00BD035E">
        <w:rPr>
          <w:rFonts w:eastAsia="Times New Roman" w:cstheme="minorHAnsi"/>
          <w:b/>
          <w:bCs/>
          <w:color w:val="000000"/>
          <w:lang w:eastAsia="en-GB"/>
        </w:rPr>
        <w:t xml:space="preserve"> </w:t>
      </w:r>
      <w:r w:rsidRPr="00BD035E">
        <w:rPr>
          <w:rFonts w:eastAsia="Times New Roman" w:cstheme="minorHAnsi"/>
          <w:b/>
          <w:bCs/>
          <w:color w:val="000000"/>
          <w:lang w:eastAsia="en-GB"/>
        </w:rPr>
        <w:t>to be eligible to apply?</w:t>
      </w:r>
    </w:p>
    <w:p w14:paraId="2607B6BD" w14:textId="0E8C3CDF" w:rsidR="00BD035E" w:rsidRPr="008F5C85" w:rsidRDefault="00BD035E" w:rsidP="008F2BE0">
      <w:pPr>
        <w:spacing w:after="0"/>
        <w:rPr>
          <w:rFonts w:eastAsia="Times New Roman"/>
          <w:color w:val="000000"/>
          <w:lang w:eastAsia="en-GB"/>
        </w:rPr>
      </w:pPr>
      <w:r w:rsidRPr="4506888B">
        <w:rPr>
          <w:rFonts w:eastAsia="Times New Roman"/>
          <w:color w:val="000000" w:themeColor="text1"/>
          <w:lang w:eastAsia="en-GB"/>
        </w:rPr>
        <w:t xml:space="preserve">There is no minimum turnover required, but we do carry out financial checks to ensure that </w:t>
      </w:r>
      <w:r w:rsidR="2922B686" w:rsidRPr="4506888B">
        <w:rPr>
          <w:rFonts w:eastAsia="Times New Roman"/>
          <w:color w:val="000000" w:themeColor="text1"/>
          <w:lang w:eastAsia="en-GB"/>
        </w:rPr>
        <w:t>organisations</w:t>
      </w:r>
      <w:r w:rsidRPr="4506888B">
        <w:rPr>
          <w:rFonts w:eastAsia="Times New Roman"/>
          <w:color w:val="000000" w:themeColor="text1"/>
          <w:lang w:eastAsia="en-GB"/>
        </w:rPr>
        <w:t xml:space="preserve"> applying are solvent and have the financial capacity to deliver the proposed project. </w:t>
      </w:r>
      <w:r w:rsidR="3273F47E" w:rsidRPr="4506888B">
        <w:rPr>
          <w:rFonts w:eastAsia="Times New Roman"/>
          <w:color w:val="000000" w:themeColor="text1"/>
          <w:lang w:eastAsia="en-GB"/>
        </w:rPr>
        <w:t xml:space="preserve">  </w:t>
      </w:r>
      <w:r w:rsidR="3273F47E" w:rsidRPr="63A74809">
        <w:rPr>
          <w:rFonts w:eastAsia="Times New Roman"/>
          <w:color w:val="000000" w:themeColor="text1"/>
          <w:lang w:eastAsia="en-GB"/>
        </w:rPr>
        <w:t xml:space="preserve">For consortiums, </w:t>
      </w:r>
      <w:r w:rsidR="3273F47E" w:rsidRPr="289FC9A6">
        <w:rPr>
          <w:rFonts w:eastAsia="Times New Roman"/>
          <w:color w:val="000000" w:themeColor="text1"/>
          <w:lang w:eastAsia="en-GB"/>
        </w:rPr>
        <w:t xml:space="preserve">these checks will </w:t>
      </w:r>
      <w:r w:rsidR="14E9F66D" w:rsidRPr="15200AB9">
        <w:rPr>
          <w:rFonts w:eastAsia="Times New Roman"/>
          <w:color w:val="000000" w:themeColor="text1"/>
          <w:lang w:eastAsia="en-GB"/>
        </w:rPr>
        <w:t>primarily</w:t>
      </w:r>
      <w:r w:rsidR="3273F47E" w:rsidRPr="15200AB9">
        <w:rPr>
          <w:rFonts w:eastAsia="Times New Roman"/>
          <w:color w:val="000000" w:themeColor="text1"/>
          <w:lang w:eastAsia="en-GB"/>
        </w:rPr>
        <w:t xml:space="preserve"> </w:t>
      </w:r>
      <w:r w:rsidR="3273F47E" w:rsidRPr="289FC9A6">
        <w:rPr>
          <w:rFonts w:eastAsia="Times New Roman"/>
          <w:color w:val="000000" w:themeColor="text1"/>
          <w:lang w:eastAsia="en-GB"/>
        </w:rPr>
        <w:t>be on</w:t>
      </w:r>
      <w:r w:rsidR="3273F47E" w:rsidRPr="5AE5E23C">
        <w:rPr>
          <w:rFonts w:eastAsia="Times New Roman"/>
          <w:color w:val="000000" w:themeColor="text1"/>
          <w:lang w:eastAsia="en-GB"/>
        </w:rPr>
        <w:t xml:space="preserve"> the lead organisation who will have financial responsibility </w:t>
      </w:r>
      <w:r w:rsidR="3273F47E" w:rsidRPr="1F088EA0">
        <w:rPr>
          <w:rFonts w:eastAsia="Times New Roman"/>
          <w:color w:val="000000" w:themeColor="text1"/>
          <w:lang w:eastAsia="en-GB"/>
        </w:rPr>
        <w:t xml:space="preserve">to </w:t>
      </w:r>
      <w:r w:rsidR="3273F47E" w:rsidRPr="24831112">
        <w:rPr>
          <w:rFonts w:eastAsia="Times New Roman"/>
          <w:color w:val="000000" w:themeColor="text1"/>
          <w:lang w:eastAsia="en-GB"/>
        </w:rPr>
        <w:t>LCRCA</w:t>
      </w:r>
      <w:r w:rsidR="3273F47E" w:rsidRPr="1F088EA0">
        <w:rPr>
          <w:rFonts w:eastAsia="Times New Roman"/>
          <w:color w:val="000000" w:themeColor="text1"/>
          <w:lang w:eastAsia="en-GB"/>
        </w:rPr>
        <w:t xml:space="preserve"> for the project, </w:t>
      </w:r>
      <w:r w:rsidR="7093DEBA" w:rsidRPr="24831112">
        <w:rPr>
          <w:rFonts w:eastAsia="Times New Roman"/>
          <w:color w:val="000000" w:themeColor="text1"/>
          <w:lang w:eastAsia="en-GB"/>
        </w:rPr>
        <w:t xml:space="preserve">however we may carry out </w:t>
      </w:r>
      <w:r w:rsidR="7093DEBA" w:rsidRPr="4AC73974">
        <w:rPr>
          <w:rFonts w:eastAsia="Times New Roman"/>
          <w:color w:val="000000" w:themeColor="text1"/>
          <w:lang w:eastAsia="en-GB"/>
        </w:rPr>
        <w:t xml:space="preserve">more limited </w:t>
      </w:r>
      <w:r w:rsidR="2580B9C9" w:rsidRPr="260F0762">
        <w:rPr>
          <w:rFonts w:eastAsia="Times New Roman"/>
          <w:color w:val="000000" w:themeColor="text1"/>
          <w:lang w:eastAsia="en-GB"/>
        </w:rPr>
        <w:t>due diligence</w:t>
      </w:r>
      <w:r w:rsidR="7093DEBA" w:rsidRPr="4AC73974">
        <w:rPr>
          <w:rFonts w:eastAsia="Times New Roman"/>
          <w:color w:val="000000" w:themeColor="text1"/>
          <w:lang w:eastAsia="en-GB"/>
        </w:rPr>
        <w:t xml:space="preserve"> on </w:t>
      </w:r>
      <w:r w:rsidR="6F3B0C0F" w:rsidRPr="263F2D0D">
        <w:rPr>
          <w:rFonts w:eastAsia="Times New Roman"/>
          <w:color w:val="000000" w:themeColor="text1"/>
          <w:lang w:eastAsia="en-GB"/>
        </w:rPr>
        <w:t>other consortium members.</w:t>
      </w:r>
      <w:r w:rsidR="7093DEBA" w:rsidRPr="15200AB9">
        <w:rPr>
          <w:rFonts w:eastAsia="Times New Roman"/>
          <w:color w:val="000000" w:themeColor="text1"/>
          <w:lang w:eastAsia="en-GB"/>
        </w:rPr>
        <w:t xml:space="preserve"> </w:t>
      </w:r>
    </w:p>
    <w:p w14:paraId="3F0D6F63" w14:textId="77777777" w:rsidR="00F4341A" w:rsidRDefault="00F4341A" w:rsidP="008F2BE0">
      <w:pPr>
        <w:spacing w:after="0"/>
        <w:rPr>
          <w:rFonts w:eastAsia="Times New Roman" w:cstheme="minorHAnsi"/>
          <w:b/>
          <w:bCs/>
          <w:color w:val="000000"/>
          <w:lang w:eastAsia="en-GB"/>
        </w:rPr>
      </w:pPr>
    </w:p>
    <w:p w14:paraId="67772251" w14:textId="16A7EA22" w:rsidR="00BD035E" w:rsidRPr="00F11F4C" w:rsidRDefault="002B2486" w:rsidP="008F2BE0">
      <w:pPr>
        <w:spacing w:after="0"/>
        <w:rPr>
          <w:rFonts w:eastAsia="Times New Roman" w:cstheme="minorHAnsi"/>
          <w:b/>
          <w:bCs/>
          <w:color w:val="000000"/>
          <w:lang w:eastAsia="en-GB"/>
        </w:rPr>
      </w:pPr>
      <w:r w:rsidRPr="002B2486">
        <w:rPr>
          <w:rFonts w:eastAsia="Times New Roman" w:cstheme="minorHAnsi"/>
          <w:b/>
          <w:bCs/>
          <w:color w:val="000000"/>
          <w:lang w:eastAsia="en-GB"/>
        </w:rPr>
        <w:t>H</w:t>
      </w:r>
      <w:r w:rsidR="00BD035E" w:rsidRPr="002B2486">
        <w:rPr>
          <w:rFonts w:eastAsia="Times New Roman" w:cstheme="minorHAnsi"/>
          <w:b/>
          <w:bCs/>
          <w:color w:val="000000"/>
          <w:lang w:eastAsia="en-GB"/>
        </w:rPr>
        <w:t xml:space="preserve">ow many years </w:t>
      </w:r>
      <w:r w:rsidR="00277B6D">
        <w:rPr>
          <w:rFonts w:eastAsia="Times New Roman" w:cstheme="minorHAnsi"/>
          <w:b/>
          <w:bCs/>
          <w:color w:val="000000"/>
          <w:lang w:eastAsia="en-GB"/>
        </w:rPr>
        <w:t>is the funding available for</w:t>
      </w:r>
      <w:r w:rsidR="00BD035E" w:rsidRPr="002B2486">
        <w:rPr>
          <w:rFonts w:eastAsia="Times New Roman" w:cstheme="minorHAnsi"/>
          <w:b/>
          <w:bCs/>
          <w:color w:val="000000"/>
          <w:lang w:eastAsia="en-GB"/>
        </w:rPr>
        <w:t>?</w:t>
      </w:r>
      <w:r w:rsidR="00BD035E" w:rsidRPr="008F5C85">
        <w:rPr>
          <w:rFonts w:eastAsia="Times New Roman" w:cstheme="minorHAnsi"/>
          <w:b/>
          <w:bCs/>
          <w:color w:val="000000"/>
          <w:lang w:eastAsia="en-GB"/>
        </w:rPr>
        <w:br/>
      </w:r>
      <w:r w:rsidR="00F4341A" w:rsidRPr="00F4341A">
        <w:rPr>
          <w:rFonts w:eastAsia="Times New Roman" w:cstheme="minorHAnsi"/>
          <w:color w:val="000000"/>
          <w:lang w:eastAsia="en-GB"/>
        </w:rPr>
        <w:t>The funding is</w:t>
      </w:r>
      <w:r w:rsidR="00BD035E" w:rsidRPr="00F4341A">
        <w:rPr>
          <w:rFonts w:eastAsia="Times New Roman" w:cstheme="minorHAnsi"/>
          <w:color w:val="000000"/>
          <w:lang w:eastAsia="en-GB"/>
        </w:rPr>
        <w:t xml:space="preserve"> a one-off call for projects, so is only available for this 1-year tranche of activity</w:t>
      </w:r>
      <w:r w:rsidR="00B523D9">
        <w:rPr>
          <w:rFonts w:eastAsia="Times New Roman" w:cstheme="minorHAnsi"/>
          <w:color w:val="000000"/>
          <w:lang w:eastAsia="en-GB"/>
        </w:rPr>
        <w:t>.</w:t>
      </w:r>
    </w:p>
    <w:p w14:paraId="28502AA3" w14:textId="77777777" w:rsidR="00EB773D" w:rsidRDefault="00EB773D" w:rsidP="008F2BE0">
      <w:pPr>
        <w:spacing w:after="0" w:line="240" w:lineRule="auto"/>
        <w:rPr>
          <w:rFonts w:eastAsia="Times New Roman" w:cstheme="minorHAnsi"/>
          <w:b/>
          <w:bCs/>
          <w:color w:val="000000"/>
          <w:lang w:eastAsia="en-GB"/>
        </w:rPr>
      </w:pPr>
    </w:p>
    <w:p w14:paraId="21F02396" w14:textId="0C29528A" w:rsidR="00EB773D" w:rsidRPr="00EB773D" w:rsidRDefault="00EB773D" w:rsidP="008F2BE0">
      <w:pPr>
        <w:spacing w:after="0" w:line="240" w:lineRule="auto"/>
        <w:rPr>
          <w:rFonts w:eastAsia="Times New Roman" w:cstheme="minorHAnsi"/>
          <w:b/>
          <w:bCs/>
          <w:color w:val="000000"/>
          <w:lang w:eastAsia="en-GB"/>
        </w:rPr>
      </w:pPr>
      <w:r>
        <w:rPr>
          <w:rFonts w:eastAsia="Times New Roman" w:cstheme="minorHAnsi"/>
          <w:b/>
          <w:bCs/>
          <w:color w:val="000000"/>
          <w:lang w:eastAsia="en-GB"/>
        </w:rPr>
        <w:t>Is there a specification for this funding?</w:t>
      </w:r>
    </w:p>
    <w:p w14:paraId="14920471" w14:textId="77777777" w:rsidR="00EB773D" w:rsidRPr="00B523D9" w:rsidRDefault="00EB773D" w:rsidP="008F2BE0">
      <w:pPr>
        <w:spacing w:after="0" w:line="240" w:lineRule="auto"/>
        <w:rPr>
          <w:rFonts w:eastAsia="Times New Roman" w:cstheme="minorHAnsi"/>
          <w:color w:val="000000"/>
          <w:lang w:eastAsia="en-GB"/>
        </w:rPr>
      </w:pPr>
    </w:p>
    <w:p w14:paraId="40C11973" w14:textId="6C7971F1" w:rsidR="00EB773D" w:rsidRPr="008F5C85" w:rsidRDefault="007440D9" w:rsidP="008F2BE0">
      <w:pPr>
        <w:spacing w:after="0" w:line="240" w:lineRule="auto"/>
        <w:rPr>
          <w:rFonts w:eastAsia="Times New Roman" w:cstheme="minorHAnsi"/>
          <w:b/>
          <w:bCs/>
          <w:color w:val="000000"/>
          <w:lang w:eastAsia="en-GB"/>
        </w:rPr>
      </w:pPr>
      <w:r w:rsidRPr="00B523D9">
        <w:rPr>
          <w:rFonts w:eastAsia="Times New Roman" w:cstheme="minorHAnsi"/>
          <w:color w:val="000000"/>
          <w:lang w:eastAsia="en-GB"/>
        </w:rPr>
        <w:lastRenderedPageBreak/>
        <w:t>This funding is a call for projects not a procurement so there is no specification</w:t>
      </w:r>
      <w:r w:rsidR="00B523D9">
        <w:rPr>
          <w:rFonts w:eastAsia="Times New Roman" w:cstheme="minorHAnsi"/>
          <w:color w:val="000000"/>
          <w:lang w:eastAsia="en-GB"/>
        </w:rPr>
        <w:t>,</w:t>
      </w:r>
      <w:r w:rsidRPr="00B523D9">
        <w:rPr>
          <w:rFonts w:eastAsia="Times New Roman" w:cstheme="minorHAnsi"/>
          <w:color w:val="000000"/>
          <w:lang w:eastAsia="en-GB"/>
        </w:rPr>
        <w:t xml:space="preserve"> and</w:t>
      </w:r>
      <w:r w:rsidR="00EB773D" w:rsidRPr="00B523D9">
        <w:rPr>
          <w:rFonts w:eastAsia="Times New Roman" w:cstheme="minorHAnsi"/>
          <w:color w:val="000000"/>
          <w:lang w:eastAsia="en-GB"/>
        </w:rPr>
        <w:t xml:space="preserve"> </w:t>
      </w:r>
      <w:r w:rsidR="00B523D9">
        <w:rPr>
          <w:rFonts w:eastAsia="Times New Roman" w:cstheme="minorHAnsi"/>
          <w:color w:val="000000"/>
          <w:lang w:eastAsia="en-GB"/>
        </w:rPr>
        <w:t>applicants</w:t>
      </w:r>
      <w:r w:rsidR="00EB773D" w:rsidRPr="00B523D9">
        <w:rPr>
          <w:rFonts w:eastAsia="Times New Roman" w:cstheme="minorHAnsi"/>
          <w:color w:val="000000"/>
          <w:lang w:eastAsia="en-GB"/>
        </w:rPr>
        <w:t xml:space="preserve"> will just need to ensure that </w:t>
      </w:r>
      <w:r w:rsidR="00D63570">
        <w:rPr>
          <w:rFonts w:eastAsia="Times New Roman" w:cstheme="minorHAnsi"/>
          <w:color w:val="000000"/>
          <w:lang w:eastAsia="en-GB"/>
        </w:rPr>
        <w:t>their</w:t>
      </w:r>
      <w:r w:rsidR="00EB773D" w:rsidRPr="00B523D9">
        <w:rPr>
          <w:rFonts w:eastAsia="Times New Roman" w:cstheme="minorHAnsi"/>
          <w:color w:val="000000"/>
          <w:lang w:eastAsia="en-GB"/>
        </w:rPr>
        <w:t xml:space="preserve"> project meets the </w:t>
      </w:r>
      <w:r w:rsidR="00DC3793" w:rsidRPr="00B523D9">
        <w:rPr>
          <w:rFonts w:eastAsia="Times New Roman" w:cstheme="minorHAnsi"/>
          <w:color w:val="000000"/>
          <w:lang w:eastAsia="en-GB"/>
        </w:rPr>
        <w:t>brief,</w:t>
      </w:r>
      <w:r w:rsidR="00EB773D" w:rsidRPr="00B523D9">
        <w:rPr>
          <w:rFonts w:eastAsia="Times New Roman" w:cstheme="minorHAnsi"/>
          <w:color w:val="000000"/>
          <w:lang w:eastAsia="en-GB"/>
        </w:rPr>
        <w:t xml:space="preserve"> and that costs, recipients and activity are eligible. All the information needed is on the guidance and links contained within.</w:t>
      </w:r>
      <w:r w:rsidR="00EB773D" w:rsidRPr="008F5C85">
        <w:rPr>
          <w:rFonts w:eastAsia="Times New Roman" w:cstheme="minorHAnsi"/>
          <w:b/>
          <w:bCs/>
          <w:color w:val="000000"/>
          <w:lang w:eastAsia="en-GB"/>
        </w:rPr>
        <w:t xml:space="preserve"> </w:t>
      </w:r>
    </w:p>
    <w:p w14:paraId="0A755552" w14:textId="77777777" w:rsidR="00A52DA3" w:rsidRPr="008F5C85" w:rsidRDefault="00A52DA3" w:rsidP="008F2BE0">
      <w:pPr>
        <w:spacing w:after="0"/>
        <w:rPr>
          <w:rFonts w:cstheme="minorHAnsi"/>
        </w:rPr>
      </w:pPr>
    </w:p>
    <w:p w14:paraId="18FAEB0B" w14:textId="756976C8" w:rsidR="002C39F4" w:rsidRDefault="00BD035E" w:rsidP="008F2BE0">
      <w:pPr>
        <w:spacing w:after="0"/>
        <w:rPr>
          <w:rFonts w:eastAsia="Times New Roman" w:cstheme="minorHAnsi"/>
          <w:b/>
          <w:bCs/>
          <w:color w:val="000000"/>
          <w:lang w:eastAsia="en-GB"/>
        </w:rPr>
      </w:pPr>
      <w:r w:rsidRPr="00BD035E">
        <w:rPr>
          <w:rStyle w:val="Heading1Char"/>
        </w:rPr>
        <w:t>Subsidy Control</w:t>
      </w:r>
      <w:r w:rsidR="00016656" w:rsidRPr="00F57F76">
        <w:rPr>
          <w:rFonts w:eastAsia="Times New Roman" w:cstheme="minorHAnsi"/>
          <w:b/>
          <w:bCs/>
          <w:color w:val="000000"/>
          <w:lang w:eastAsia="en-GB"/>
        </w:rPr>
        <w:br/>
      </w:r>
      <w:r w:rsidR="002C39F4">
        <w:rPr>
          <w:rFonts w:eastAsia="Times New Roman" w:cstheme="minorHAnsi"/>
          <w:b/>
          <w:bCs/>
          <w:color w:val="000000"/>
          <w:lang w:eastAsia="en-GB"/>
        </w:rPr>
        <w:t>Can LCRCA clarify the requirement on the application form in relation to Subsidy Control?</w:t>
      </w:r>
    </w:p>
    <w:p w14:paraId="5F3FB003" w14:textId="56B5E916" w:rsidR="002C39F4" w:rsidRPr="00022BC9" w:rsidRDefault="00022BC9" w:rsidP="008F2BE0">
      <w:pPr>
        <w:spacing w:after="0"/>
        <w:rPr>
          <w:rFonts w:eastAsia="Times New Roman" w:cstheme="minorHAnsi"/>
          <w:color w:val="000000"/>
          <w:lang w:eastAsia="en-GB"/>
        </w:rPr>
      </w:pPr>
      <w:r>
        <w:rPr>
          <w:rFonts w:eastAsia="Times New Roman" w:cstheme="minorHAnsi"/>
          <w:color w:val="000000"/>
          <w:lang w:eastAsia="en-GB"/>
        </w:rPr>
        <w:t>We would like applicants to confirm that they have considered Subsidy Control. Although unlikely, this is also a good place to indicate if you think that subsidy control may apply to you, if successful.</w:t>
      </w:r>
    </w:p>
    <w:p w14:paraId="79EEA108" w14:textId="4E2890F2" w:rsidR="00016656" w:rsidRPr="00F57F76" w:rsidRDefault="00016656" w:rsidP="008F2BE0">
      <w:pPr>
        <w:spacing w:after="0"/>
        <w:rPr>
          <w:rFonts w:cstheme="minorHAnsi"/>
          <w:b/>
          <w:bCs/>
        </w:rPr>
      </w:pPr>
      <w:r w:rsidRPr="00F57F76">
        <w:rPr>
          <w:rFonts w:eastAsia="Times New Roman" w:cstheme="minorHAnsi"/>
          <w:b/>
          <w:bCs/>
          <w:color w:val="000000"/>
          <w:lang w:eastAsia="en-GB"/>
        </w:rPr>
        <w:br/>
        <w:t>Subsidy Control applies to enterprises not individuals (the ultimate beneficiaries of this project) and then only in certain “anti-competitive” conditions. As such</w:t>
      </w:r>
      <w:r w:rsidR="00B113AA">
        <w:rPr>
          <w:rFonts w:eastAsia="Times New Roman" w:cstheme="minorHAnsi"/>
          <w:b/>
          <w:bCs/>
          <w:color w:val="000000"/>
          <w:lang w:eastAsia="en-GB"/>
        </w:rPr>
        <w:t>,</w:t>
      </w:r>
      <w:r w:rsidRPr="00F57F76">
        <w:rPr>
          <w:rFonts w:eastAsia="Times New Roman" w:cstheme="minorHAnsi"/>
          <w:b/>
          <w:bCs/>
          <w:color w:val="000000"/>
          <w:lang w:eastAsia="en-GB"/>
        </w:rPr>
        <w:t xml:space="preserve"> any controls may apply to payments to potential subcontractors, though the end beneficiaries would be economically inactive individuals (to whom subsidy control does not apply).  Does LCRCA therefore have any view as to whether Subsidy Control applies to this contract? </w:t>
      </w:r>
    </w:p>
    <w:p w14:paraId="226B1591" w14:textId="0EC6D2EB" w:rsidR="00246D41" w:rsidRDefault="002434BA" w:rsidP="008F2BE0">
      <w:pPr>
        <w:spacing w:after="0"/>
      </w:pPr>
      <w:r w:rsidRPr="5C69865F">
        <w:rPr>
          <w:rStyle w:val="cf01"/>
          <w:rFonts w:asciiTheme="minorHAnsi" w:hAnsiTheme="minorHAnsi" w:cstheme="minorBidi"/>
          <w:sz w:val="22"/>
          <w:szCs w:val="22"/>
        </w:rPr>
        <w:t xml:space="preserve">State Aid was previously applicable under EU legislation, its UK replacement is Subsidy Control therefore any previous guidance in relation to State Aid would no longer be applicable.  UKSPF subsidy control guidance can be accessed at </w:t>
      </w:r>
      <w:hyperlink w:history="1">
        <w:r w:rsidRPr="5C69865F">
          <w:rPr>
            <w:rStyle w:val="Hyperlink"/>
          </w:rPr>
          <w:t>UK Shared Prosperity Fund: subsidy control (7) - GWOV.UK (www.gov.uk)</w:t>
        </w:r>
      </w:hyperlink>
      <w:r w:rsidRPr="5C69865F">
        <w:rPr>
          <w:rStyle w:val="cf01"/>
          <w:rFonts w:asciiTheme="minorHAnsi" w:hAnsiTheme="minorHAnsi" w:cstheme="minorBidi"/>
          <w:sz w:val="22"/>
          <w:szCs w:val="22"/>
        </w:rPr>
        <w:t xml:space="preserve"> . </w:t>
      </w:r>
      <w:r w:rsidR="00246D41" w:rsidRPr="5C69865F">
        <w:t>Subsidy Control relates to the potential for one enterprise to be benefitted over another, which would give a competitive advantage in the market. In this instance, the end beneficiaries are individuals</w:t>
      </w:r>
      <w:r w:rsidR="4211FEFB" w:rsidRPr="79121400">
        <w:t xml:space="preserve"> not currently in</w:t>
      </w:r>
      <w:r w:rsidR="4211FEFB" w:rsidRPr="28F467D5">
        <w:t xml:space="preserve"> employment</w:t>
      </w:r>
      <w:r w:rsidR="0234DE3A" w:rsidRPr="6AFB6E8E">
        <w:t>.</w:t>
      </w:r>
      <w:r w:rsidR="4211FEFB" w:rsidRPr="6AFB6E8E">
        <w:t xml:space="preserve"> </w:t>
      </w:r>
    </w:p>
    <w:p w14:paraId="3F48F686" w14:textId="0F5658BA" w:rsidR="002434BA" w:rsidRPr="008F5C85" w:rsidRDefault="002434BA" w:rsidP="008F2BE0">
      <w:pPr>
        <w:spacing w:after="0"/>
        <w:rPr>
          <w:rStyle w:val="cf01"/>
          <w:rFonts w:asciiTheme="minorHAnsi" w:hAnsiTheme="minorHAnsi" w:cstheme="minorBidi"/>
          <w:sz w:val="22"/>
          <w:szCs w:val="22"/>
        </w:rPr>
      </w:pPr>
      <w:r w:rsidRPr="604276F4">
        <w:rPr>
          <w:rStyle w:val="cf01"/>
          <w:rFonts w:asciiTheme="minorHAnsi" w:hAnsiTheme="minorHAnsi" w:cstheme="minorBidi"/>
          <w:sz w:val="22"/>
          <w:szCs w:val="22"/>
        </w:rPr>
        <w:t xml:space="preserve">In line with this guidance, </w:t>
      </w:r>
      <w:r w:rsidR="74813424" w:rsidRPr="45A1ECA9">
        <w:rPr>
          <w:rStyle w:val="cf01"/>
          <w:rFonts w:asciiTheme="minorHAnsi" w:hAnsiTheme="minorHAnsi" w:cstheme="minorBidi"/>
          <w:sz w:val="22"/>
          <w:szCs w:val="22"/>
        </w:rPr>
        <w:t>LCR</w:t>
      </w:r>
      <w:r w:rsidRPr="45A1ECA9">
        <w:rPr>
          <w:rStyle w:val="cf01"/>
          <w:rFonts w:asciiTheme="minorHAnsi" w:hAnsiTheme="minorHAnsi" w:cstheme="minorBidi"/>
          <w:sz w:val="22"/>
          <w:szCs w:val="22"/>
        </w:rPr>
        <w:t>CA</w:t>
      </w:r>
      <w:r w:rsidRPr="604276F4">
        <w:rPr>
          <w:rStyle w:val="cf01"/>
          <w:rFonts w:asciiTheme="minorHAnsi" w:hAnsiTheme="minorHAnsi" w:cstheme="minorBidi"/>
          <w:sz w:val="22"/>
          <w:szCs w:val="22"/>
        </w:rPr>
        <w:t xml:space="preserve"> considers it likely that most planned activities relating to “people and skills” interventions will not involve subsidies, however individual projects and applications will be reviewed and you will be notified if </w:t>
      </w:r>
      <w:r w:rsidR="6128A47F" w:rsidRPr="63CEE8B6">
        <w:rPr>
          <w:rStyle w:val="cf01"/>
          <w:rFonts w:asciiTheme="minorHAnsi" w:hAnsiTheme="minorHAnsi" w:cstheme="minorBidi"/>
          <w:sz w:val="22"/>
          <w:szCs w:val="22"/>
        </w:rPr>
        <w:t>LCR</w:t>
      </w:r>
      <w:r w:rsidRPr="63CEE8B6">
        <w:rPr>
          <w:rStyle w:val="cf01"/>
          <w:rFonts w:asciiTheme="minorHAnsi" w:hAnsiTheme="minorHAnsi" w:cstheme="minorBidi"/>
          <w:sz w:val="22"/>
          <w:szCs w:val="22"/>
        </w:rPr>
        <w:t>CA</w:t>
      </w:r>
      <w:r w:rsidRPr="604276F4">
        <w:rPr>
          <w:rStyle w:val="cf01"/>
          <w:rFonts w:asciiTheme="minorHAnsi" w:hAnsiTheme="minorHAnsi" w:cstheme="minorBidi"/>
          <w:sz w:val="22"/>
          <w:szCs w:val="22"/>
        </w:rPr>
        <w:t xml:space="preserve"> considers that any subsidy control implications may arise and if any mitigations need to be put in place.  It is not expected that you obtain your own subsidy control legal advice, however you are free to do so if you wish.</w:t>
      </w:r>
    </w:p>
    <w:p w14:paraId="119AC438" w14:textId="77777777" w:rsidR="00016656" w:rsidRPr="00F57F76" w:rsidRDefault="00016656" w:rsidP="008F2BE0">
      <w:pPr>
        <w:spacing w:after="0"/>
        <w:rPr>
          <w:rFonts w:cstheme="minorHAnsi"/>
        </w:rPr>
      </w:pPr>
      <w:r w:rsidRPr="00F57F76">
        <w:rPr>
          <w:rFonts w:cstheme="minorHAnsi"/>
        </w:rPr>
        <w:t>There are some possible circumstances where Subsidy Control may apply:</w:t>
      </w:r>
    </w:p>
    <w:p w14:paraId="79664081" w14:textId="69062351" w:rsidR="00016656" w:rsidRPr="00F57F76" w:rsidRDefault="00016656" w:rsidP="008F2BE0">
      <w:pPr>
        <w:pStyle w:val="ListParagraph"/>
        <w:numPr>
          <w:ilvl w:val="0"/>
          <w:numId w:val="11"/>
        </w:numPr>
        <w:spacing w:after="0"/>
      </w:pPr>
      <w:r w:rsidRPr="682E9F00">
        <w:t>Where subcontractors are being used. This can be mitigated by going through a competitive process to select contractors (so the contract is open to the market), and</w:t>
      </w:r>
      <w:r w:rsidR="3312CEB8" w:rsidRPr="682E9F00">
        <w:t>/</w:t>
      </w:r>
      <w:r w:rsidR="3312CEB8" w:rsidRPr="7284E4C2">
        <w:t>or</w:t>
      </w:r>
      <w:r w:rsidRPr="682E9F00">
        <w:t xml:space="preserve"> if subcontractors are only providing services on a cost basis and not making any profit, so that there is no competitive advantage.</w:t>
      </w:r>
    </w:p>
    <w:p w14:paraId="62C57C7D" w14:textId="77777777" w:rsidR="00016656" w:rsidRPr="00F57F76" w:rsidRDefault="00016656" w:rsidP="008F2BE0">
      <w:pPr>
        <w:pStyle w:val="ListParagraph"/>
        <w:numPr>
          <w:ilvl w:val="0"/>
          <w:numId w:val="11"/>
        </w:numPr>
        <w:spacing w:after="0"/>
        <w:rPr>
          <w:rFonts w:cstheme="minorHAnsi"/>
        </w:rPr>
      </w:pPr>
      <w:r w:rsidRPr="00F57F76">
        <w:rPr>
          <w:rFonts w:cstheme="minorHAnsi"/>
        </w:rPr>
        <w:t xml:space="preserve">Where funding is provided to employers for them to take on economically inactive people to introduce them to the workplace. </w:t>
      </w:r>
    </w:p>
    <w:p w14:paraId="4D45A957" w14:textId="68EA27A7" w:rsidR="00016656" w:rsidRPr="00F57F76" w:rsidRDefault="00016656" w:rsidP="008F2BE0">
      <w:pPr>
        <w:spacing w:after="0"/>
      </w:pPr>
      <w:r w:rsidRPr="21A1D4E7">
        <w:t xml:space="preserve">In both scenarios, subsidies </w:t>
      </w:r>
      <w:r w:rsidR="00D7236A" w:rsidRPr="21A1D4E7">
        <w:t>would</w:t>
      </w:r>
      <w:r w:rsidRPr="21A1D4E7">
        <w:t xml:space="preserve"> relatively low so easy to manage. For that reason, applicants shouldn’t avoid putting them in their proposals due to Subsidy Control concerns, as </w:t>
      </w:r>
      <w:r w:rsidR="5FD03041" w:rsidRPr="6C52DF78">
        <w:t>LCRCA</w:t>
      </w:r>
      <w:r w:rsidRPr="21A1D4E7">
        <w:t xml:space="preserve"> has internal expertise around Subsidy Control who can review and advise applicants.</w:t>
      </w:r>
    </w:p>
    <w:p w14:paraId="047E57F5" w14:textId="77777777" w:rsidR="00016656" w:rsidRPr="00F57F76" w:rsidRDefault="00016656" w:rsidP="008F2BE0">
      <w:pPr>
        <w:spacing w:after="0"/>
        <w:rPr>
          <w:rFonts w:cstheme="minorHAnsi"/>
        </w:rPr>
      </w:pPr>
      <w:r w:rsidRPr="00F57F76">
        <w:rPr>
          <w:rFonts w:cstheme="minorHAnsi"/>
        </w:rPr>
        <w:t>In the unlikely event that there are Subsidy Control implications, the team will liaise with applicants directly at a later stage.</w:t>
      </w:r>
    </w:p>
    <w:p w14:paraId="7065AF5E" w14:textId="1864504A" w:rsidR="00515AD9" w:rsidRPr="00E465DF" w:rsidRDefault="6E2A6400" w:rsidP="008F2BE0">
      <w:pPr>
        <w:spacing w:after="0"/>
      </w:pPr>
      <w:r w:rsidRPr="35703905">
        <w:rPr>
          <w:rStyle w:val="ui-provider"/>
        </w:rPr>
        <w:t xml:space="preserve">In summary, </w:t>
      </w:r>
      <w:proofErr w:type="gramStart"/>
      <w:r w:rsidRPr="35703905">
        <w:rPr>
          <w:rStyle w:val="ui-provider"/>
        </w:rPr>
        <w:t>w</w:t>
      </w:r>
      <w:r w:rsidR="00515AD9" w:rsidRPr="35703905">
        <w:rPr>
          <w:rStyle w:val="ui-provider"/>
        </w:rPr>
        <w:t>hether</w:t>
      </w:r>
      <w:r w:rsidR="00515AD9" w:rsidRPr="00E465DF">
        <w:rPr>
          <w:rStyle w:val="ui-provider"/>
        </w:rPr>
        <w:t xml:space="preserve"> or not</w:t>
      </w:r>
      <w:proofErr w:type="gramEnd"/>
      <w:r w:rsidR="00515AD9" w:rsidRPr="00E465DF">
        <w:rPr>
          <w:rStyle w:val="ui-provider"/>
        </w:rPr>
        <w:t xml:space="preserve"> the grant</w:t>
      </w:r>
      <w:r w:rsidR="593182C6" w:rsidRPr="613E2672">
        <w:rPr>
          <w:rStyle w:val="ui-provider"/>
        </w:rPr>
        <w:t xml:space="preserve"> </w:t>
      </w:r>
      <w:r w:rsidR="593182C6" w:rsidRPr="4EB068C1">
        <w:rPr>
          <w:rStyle w:val="ui-provider"/>
        </w:rPr>
        <w:t>for a particular project</w:t>
      </w:r>
      <w:r w:rsidR="00515AD9" w:rsidRPr="00E465DF">
        <w:rPr>
          <w:rStyle w:val="ui-provider"/>
        </w:rPr>
        <w:t xml:space="preserve"> will be a subsidy will depend on what the proposed recipient intends to deliver and who the beneficiaries will be.  We will assess each submission against the criteria set out in the Subsidy Control Act 2022 to identify whether any element of the funding may constitute a subsidy as defined in the Act.  If all or any part of the funding for a selected proposal will constitute a subsidy, we will advise the recipient of any control measures that they need to put in place to ensure compliance with the Act.  It is </w:t>
      </w:r>
      <w:r w:rsidR="556FA024" w:rsidRPr="72C7E278">
        <w:rPr>
          <w:rStyle w:val="ui-provider"/>
        </w:rPr>
        <w:t>LCR</w:t>
      </w:r>
      <w:r w:rsidR="00515AD9" w:rsidRPr="72C7E278">
        <w:rPr>
          <w:rStyle w:val="ui-provider"/>
        </w:rPr>
        <w:t>CA's</w:t>
      </w:r>
      <w:r w:rsidR="00515AD9" w:rsidRPr="00E465DF">
        <w:rPr>
          <w:rStyle w:val="ui-provider"/>
        </w:rPr>
        <w:t xml:space="preserve"> responsibility to assess </w:t>
      </w:r>
      <w:proofErr w:type="gramStart"/>
      <w:r w:rsidR="00515AD9" w:rsidRPr="00E465DF">
        <w:rPr>
          <w:rStyle w:val="ui-provider"/>
        </w:rPr>
        <w:t>whether or not</w:t>
      </w:r>
      <w:proofErr w:type="gramEnd"/>
      <w:r w:rsidR="00515AD9" w:rsidRPr="00E465DF">
        <w:rPr>
          <w:rStyle w:val="ui-provider"/>
        </w:rPr>
        <w:t xml:space="preserve"> any funding it provides will constitute a subsidy, but the recipient's responsibility to implement any identified control measures.  In line with Government expectations for employment and skills UKSPF provision, it is anticipated that most proposals under the call will not constitute subsidies within the meaning of the Act.  </w:t>
      </w:r>
    </w:p>
    <w:p w14:paraId="5C614C8C" w14:textId="77777777" w:rsidR="00885FBD" w:rsidRDefault="00885FBD" w:rsidP="008F2BE0">
      <w:pPr>
        <w:spacing w:after="0"/>
      </w:pPr>
    </w:p>
    <w:p w14:paraId="5B4344B6" w14:textId="77777777" w:rsidR="0069638A" w:rsidRDefault="0069638A" w:rsidP="008F2BE0">
      <w:pPr>
        <w:spacing w:after="0"/>
      </w:pPr>
    </w:p>
    <w:p w14:paraId="3A38E1E2" w14:textId="4680F5C4" w:rsidR="00271B90" w:rsidRDefault="00271B90" w:rsidP="008F2BE0">
      <w:pPr>
        <w:pStyle w:val="Heading1"/>
        <w:spacing w:before="0"/>
      </w:pPr>
      <w:r>
        <w:t>Outputs and Outcomes</w:t>
      </w:r>
    </w:p>
    <w:p w14:paraId="2C1730A2" w14:textId="77777777" w:rsidR="00885FBD" w:rsidRPr="001A41DF" w:rsidRDefault="00885FBD" w:rsidP="008F2BE0">
      <w:pPr>
        <w:spacing w:after="0"/>
        <w:rPr>
          <w:b/>
          <w:bCs/>
        </w:rPr>
      </w:pPr>
      <w:r w:rsidRPr="001A41DF">
        <w:rPr>
          <w:b/>
          <w:bCs/>
        </w:rPr>
        <w:t xml:space="preserve">What are the required outputs and outcomes? </w:t>
      </w:r>
    </w:p>
    <w:tbl>
      <w:tblPr>
        <w:tblStyle w:val="TableGrid"/>
        <w:tblW w:w="0" w:type="auto"/>
        <w:tblLayout w:type="fixed"/>
        <w:tblLook w:val="04A0" w:firstRow="1" w:lastRow="0" w:firstColumn="1" w:lastColumn="0" w:noHBand="0" w:noVBand="1"/>
      </w:tblPr>
      <w:tblGrid>
        <w:gridCol w:w="2260"/>
        <w:gridCol w:w="5240"/>
      </w:tblGrid>
      <w:tr w:rsidR="00885FBD" w14:paraId="4D04FEC7" w14:textId="77777777" w:rsidTr="00E5222F">
        <w:trPr>
          <w:trHeight w:val="300"/>
        </w:trPr>
        <w:tc>
          <w:tcPr>
            <w:tcW w:w="2260" w:type="dxa"/>
            <w:tcBorders>
              <w:top w:val="single" w:sz="6" w:space="0" w:color="auto"/>
              <w:left w:val="single" w:sz="6" w:space="0" w:color="auto"/>
              <w:bottom w:val="single" w:sz="6" w:space="0" w:color="auto"/>
              <w:right w:val="single" w:sz="6" w:space="0" w:color="auto"/>
            </w:tcBorders>
            <w:tcMar>
              <w:left w:w="105" w:type="dxa"/>
              <w:right w:w="105" w:type="dxa"/>
            </w:tcMar>
          </w:tcPr>
          <w:p w14:paraId="10B18468" w14:textId="77777777" w:rsidR="00885FBD" w:rsidRPr="006C002C" w:rsidRDefault="00885FBD" w:rsidP="008F2BE0">
            <w:pPr>
              <w:spacing w:line="259" w:lineRule="auto"/>
            </w:pPr>
            <w:r w:rsidRPr="006C002C">
              <w:t>Outputs</w:t>
            </w:r>
          </w:p>
        </w:tc>
        <w:tc>
          <w:tcPr>
            <w:tcW w:w="524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5313D30" w14:textId="77777777" w:rsidR="00885FBD" w:rsidRPr="006C002C" w:rsidRDefault="00885FBD" w:rsidP="008F2BE0">
            <w:pPr>
              <w:spacing w:line="259" w:lineRule="auto"/>
            </w:pPr>
            <w:r w:rsidRPr="006C002C">
              <w:t>Economically inactive people engage with a key worker to access support services</w:t>
            </w:r>
          </w:p>
        </w:tc>
      </w:tr>
      <w:tr w:rsidR="00885FBD" w14:paraId="1FCC0837" w14:textId="77777777" w:rsidTr="00E5222F">
        <w:trPr>
          <w:trHeight w:val="300"/>
        </w:trPr>
        <w:tc>
          <w:tcPr>
            <w:tcW w:w="2260" w:type="dxa"/>
            <w:vMerge w:val="restart"/>
            <w:tcBorders>
              <w:top w:val="single" w:sz="6" w:space="0" w:color="auto"/>
              <w:left w:val="single" w:sz="6" w:space="0" w:color="auto"/>
              <w:bottom w:val="single" w:sz="6" w:space="0" w:color="auto"/>
              <w:right w:val="single" w:sz="6" w:space="0" w:color="auto"/>
            </w:tcBorders>
            <w:tcMar>
              <w:left w:w="105" w:type="dxa"/>
              <w:right w:w="105" w:type="dxa"/>
            </w:tcMar>
          </w:tcPr>
          <w:p w14:paraId="53AEF5CD" w14:textId="77777777" w:rsidR="00885FBD" w:rsidRPr="006C002C" w:rsidRDefault="00885FBD" w:rsidP="008F2BE0">
            <w:pPr>
              <w:spacing w:line="259" w:lineRule="auto"/>
            </w:pPr>
            <w:r w:rsidRPr="006C002C">
              <w:t>Outcomes</w:t>
            </w:r>
          </w:p>
        </w:tc>
        <w:tc>
          <w:tcPr>
            <w:tcW w:w="524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A18ADAF" w14:textId="77777777" w:rsidR="00885FBD" w:rsidRPr="006C002C" w:rsidRDefault="00885FBD" w:rsidP="008F2BE0">
            <w:pPr>
              <w:spacing w:line="259" w:lineRule="auto"/>
            </w:pPr>
            <w:r w:rsidRPr="006C002C">
              <w:t>People in employment, including self-employment following support</w:t>
            </w:r>
          </w:p>
        </w:tc>
      </w:tr>
      <w:tr w:rsidR="00885FBD" w14:paraId="3D5EB8D4" w14:textId="77777777" w:rsidTr="00E5222F">
        <w:trPr>
          <w:trHeight w:val="300"/>
        </w:trPr>
        <w:tc>
          <w:tcPr>
            <w:tcW w:w="2260" w:type="dxa"/>
            <w:vMerge/>
            <w:tcBorders>
              <w:left w:val="single" w:sz="6" w:space="0" w:color="auto"/>
              <w:bottom w:val="single" w:sz="6" w:space="0" w:color="auto"/>
              <w:right w:val="single" w:sz="6" w:space="0" w:color="auto"/>
            </w:tcBorders>
            <w:tcMar>
              <w:left w:w="105" w:type="dxa"/>
              <w:right w:w="105" w:type="dxa"/>
            </w:tcMar>
          </w:tcPr>
          <w:p w14:paraId="7163E059" w14:textId="77777777" w:rsidR="00885FBD" w:rsidRDefault="00885FBD" w:rsidP="008F2BE0"/>
        </w:tc>
        <w:tc>
          <w:tcPr>
            <w:tcW w:w="524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FA2A348" w14:textId="77777777" w:rsidR="00885FBD" w:rsidRDefault="00885FBD" w:rsidP="008F2BE0">
            <w:pPr>
              <w:spacing w:line="259" w:lineRule="auto"/>
            </w:pPr>
            <w:r>
              <w:t>People in education or training following support</w:t>
            </w:r>
          </w:p>
        </w:tc>
      </w:tr>
    </w:tbl>
    <w:p w14:paraId="75E57547" w14:textId="77777777" w:rsidR="00885FBD" w:rsidRDefault="00885FBD" w:rsidP="008F2BE0">
      <w:pPr>
        <w:spacing w:after="0"/>
      </w:pPr>
    </w:p>
    <w:p w14:paraId="7ED123F1" w14:textId="78C6DE5E" w:rsidR="00885FBD" w:rsidRDefault="00885FBD" w:rsidP="008F2BE0">
      <w:pPr>
        <w:spacing w:after="0"/>
        <w:rPr>
          <w:rStyle w:val="Hyperlink"/>
          <w:rFonts w:ascii="Calibri" w:eastAsia="Calibri" w:hAnsi="Calibri" w:cs="Calibri"/>
        </w:rPr>
      </w:pPr>
      <w:r>
        <w:t xml:space="preserve">Further guidance on </w:t>
      </w:r>
      <w:r w:rsidR="00E465DF">
        <w:t>these</w:t>
      </w:r>
      <w:r>
        <w:t xml:space="preserve"> can be found via the government website under Section 3 People and Skills, Intervention 33  </w:t>
      </w:r>
      <w:hyperlink r:id="rId13">
        <w:r w:rsidRPr="774DC27E">
          <w:rPr>
            <w:rStyle w:val="Hyperlink"/>
            <w:rFonts w:ascii="Calibri" w:eastAsia="Calibri" w:hAnsi="Calibri" w:cs="Calibri"/>
          </w:rPr>
          <w:t>Interventions list for England - GOV.UK (www.gov.uk)</w:t>
        </w:r>
      </w:hyperlink>
    </w:p>
    <w:p w14:paraId="4F120969" w14:textId="77777777" w:rsidR="001A41DF" w:rsidRDefault="001A41DF" w:rsidP="008F2BE0">
      <w:pPr>
        <w:spacing w:after="0"/>
        <w:rPr>
          <w:rFonts w:ascii="Calibri" w:eastAsia="Calibri" w:hAnsi="Calibri" w:cs="Calibri"/>
        </w:rPr>
      </w:pPr>
    </w:p>
    <w:p w14:paraId="28E7BF21" w14:textId="77777777" w:rsidR="00885FBD" w:rsidRPr="001A41DF" w:rsidRDefault="00885FBD" w:rsidP="008F2BE0">
      <w:pPr>
        <w:spacing w:after="0"/>
        <w:rPr>
          <w:b/>
          <w:bCs/>
        </w:rPr>
      </w:pPr>
      <w:r w:rsidRPr="001A41DF">
        <w:rPr>
          <w:b/>
          <w:bCs/>
        </w:rPr>
        <w:t>How will the outputs and outcomes be monitored?</w:t>
      </w:r>
    </w:p>
    <w:p w14:paraId="5D9C1FEA" w14:textId="77777777" w:rsidR="00885FBD" w:rsidRDefault="00885FBD" w:rsidP="008F2BE0">
      <w:pPr>
        <w:spacing w:after="0"/>
        <w:rPr>
          <w:rFonts w:ascii="Calibri" w:eastAsia="Calibri" w:hAnsi="Calibri" w:cs="Calibri"/>
        </w:rPr>
      </w:pPr>
      <w:r w:rsidRPr="52484684">
        <w:rPr>
          <w:rFonts w:ascii="Calibri" w:eastAsia="Calibri" w:hAnsi="Calibri" w:cs="Calibri"/>
        </w:rPr>
        <w:t xml:space="preserve">Outputs and outcomes will be monitored quarterly, with delivery partners submitting returns within 15 working days of the end of the quarter. The report will detail progress against outputs and outcomes as well as a narrative around delivery and risks. Partners will also submit a beneficiary return. The LCRCA will provide templates and support for the submission through a dedicated support officer.   </w:t>
      </w:r>
    </w:p>
    <w:p w14:paraId="4FD42378" w14:textId="77777777" w:rsidR="001A41DF" w:rsidRPr="008414EE" w:rsidRDefault="001A41DF" w:rsidP="008F2BE0">
      <w:pPr>
        <w:spacing w:after="0"/>
      </w:pPr>
    </w:p>
    <w:p w14:paraId="32AB4364" w14:textId="7FA92E1A" w:rsidR="00016656" w:rsidRPr="001A41DF" w:rsidRDefault="00016656" w:rsidP="008F2BE0">
      <w:pPr>
        <w:spacing w:after="0"/>
        <w:rPr>
          <w:rFonts w:eastAsia="Times New Roman" w:cstheme="minorHAnsi"/>
          <w:b/>
          <w:bCs/>
          <w:lang w:eastAsia="en-GB"/>
        </w:rPr>
      </w:pPr>
      <w:r w:rsidRPr="001A41DF">
        <w:rPr>
          <w:rFonts w:eastAsia="Times New Roman" w:cstheme="minorHAnsi"/>
          <w:b/>
          <w:bCs/>
          <w:lang w:eastAsia="en-GB"/>
        </w:rPr>
        <w:t>What would be the last date for outcomes to be reported, March 2025 or</w:t>
      </w:r>
      <w:r w:rsidR="00481849">
        <w:rPr>
          <w:rFonts w:eastAsia="Times New Roman" w:cstheme="minorHAnsi"/>
          <w:b/>
          <w:bCs/>
          <w:lang w:eastAsia="en-GB"/>
        </w:rPr>
        <w:t>, for example,</w:t>
      </w:r>
      <w:r w:rsidRPr="001A41DF">
        <w:rPr>
          <w:rFonts w:eastAsia="Times New Roman" w:cstheme="minorHAnsi"/>
          <w:b/>
          <w:bCs/>
          <w:lang w:eastAsia="en-GB"/>
        </w:rPr>
        <w:t xml:space="preserve"> June 2025?  </w:t>
      </w:r>
    </w:p>
    <w:p w14:paraId="3A88FD88" w14:textId="7DB4F436" w:rsidR="001A41DF" w:rsidRDefault="00016656" w:rsidP="008F2BE0">
      <w:pPr>
        <w:spacing w:after="0"/>
        <w:rPr>
          <w:rFonts w:cstheme="minorHAnsi"/>
          <w:b/>
          <w:bCs/>
          <w:i/>
          <w:iCs/>
        </w:rPr>
      </w:pPr>
      <w:r w:rsidRPr="001A41DF">
        <w:rPr>
          <w:rFonts w:cstheme="minorHAnsi"/>
        </w:rPr>
        <w:t>The last possible date for reporting for both outputs and outcomes is April 2025. It is recognised that some outcomes may take longer to come to fruition, so conversations are currently ongoing on potential ways to collect outputs later</w:t>
      </w:r>
      <w:r w:rsidR="00225E85">
        <w:rPr>
          <w:rFonts w:cstheme="minorHAnsi"/>
        </w:rPr>
        <w:t xml:space="preserve"> but there is currently no indication </w:t>
      </w:r>
      <w:proofErr w:type="gramStart"/>
      <w:r w:rsidR="00225E85">
        <w:rPr>
          <w:rFonts w:cstheme="minorHAnsi"/>
        </w:rPr>
        <w:t>whether</w:t>
      </w:r>
      <w:r w:rsidR="005B3EEA">
        <w:rPr>
          <w:rFonts w:cstheme="minorHAnsi"/>
        </w:rPr>
        <w:t xml:space="preserve"> or not</w:t>
      </w:r>
      <w:proofErr w:type="gramEnd"/>
      <w:r w:rsidR="005B3EEA">
        <w:rPr>
          <w:rFonts w:cstheme="minorHAnsi"/>
        </w:rPr>
        <w:t xml:space="preserve"> this will change so we are unable to accept any claims for</w:t>
      </w:r>
      <w:r w:rsidR="002F4800">
        <w:rPr>
          <w:rFonts w:cstheme="minorHAnsi"/>
        </w:rPr>
        <w:t xml:space="preserve"> outcomes forecast beyond 31 March 2025</w:t>
      </w:r>
      <w:r w:rsidRPr="001A41DF">
        <w:rPr>
          <w:rFonts w:cstheme="minorHAnsi"/>
        </w:rPr>
        <w:t>.</w:t>
      </w:r>
      <w:r w:rsidRPr="008F5C85">
        <w:rPr>
          <w:rFonts w:cstheme="minorHAnsi"/>
          <w:b/>
          <w:bCs/>
          <w:i/>
          <w:iCs/>
        </w:rPr>
        <w:t xml:space="preserve">    </w:t>
      </w:r>
    </w:p>
    <w:p w14:paraId="322DC825" w14:textId="518EA3F4" w:rsidR="001A41DF" w:rsidRPr="001A41DF" w:rsidRDefault="001A41DF" w:rsidP="008F2BE0">
      <w:pPr>
        <w:spacing w:after="0"/>
        <w:rPr>
          <w:rFonts w:cstheme="minorHAnsi"/>
        </w:rPr>
      </w:pPr>
    </w:p>
    <w:p w14:paraId="331A367A" w14:textId="6B61388A" w:rsidR="00671576" w:rsidRPr="001A41DF" w:rsidRDefault="00671576" w:rsidP="008F2BE0">
      <w:pPr>
        <w:spacing w:after="0"/>
        <w:rPr>
          <w:rStyle w:val="ui-provider"/>
          <w:rFonts w:cstheme="minorHAnsi"/>
          <w:b/>
          <w:bCs/>
        </w:rPr>
      </w:pPr>
      <w:r w:rsidRPr="001A41DF">
        <w:rPr>
          <w:rStyle w:val="ui-provider"/>
          <w:rFonts w:cstheme="minorHAnsi"/>
          <w:b/>
          <w:bCs/>
        </w:rPr>
        <w:t>Is there an overall output target the CA is seeking to achieve with this fund?</w:t>
      </w:r>
    </w:p>
    <w:p w14:paraId="0FA8AF4E" w14:textId="22608D35" w:rsidR="00671576" w:rsidRDefault="001A41DF" w:rsidP="008F2BE0">
      <w:pPr>
        <w:spacing w:after="0"/>
        <w:rPr>
          <w:rStyle w:val="ui-provider"/>
          <w:rFonts w:cstheme="minorHAnsi"/>
        </w:rPr>
      </w:pPr>
      <w:r>
        <w:rPr>
          <w:rStyle w:val="ui-provider"/>
          <w:rFonts w:cstheme="minorHAnsi"/>
        </w:rPr>
        <w:t>Y</w:t>
      </w:r>
      <w:r w:rsidR="00671576" w:rsidRPr="001A41DF">
        <w:rPr>
          <w:rStyle w:val="ui-provider"/>
          <w:rFonts w:cstheme="minorHAnsi"/>
        </w:rPr>
        <w:t xml:space="preserve">es, there is an overall target in the LCR Investment Plan, but </w:t>
      </w:r>
      <w:r w:rsidR="00424F65">
        <w:rPr>
          <w:rStyle w:val="ui-provider"/>
          <w:rFonts w:cstheme="minorHAnsi"/>
        </w:rPr>
        <w:t xml:space="preserve">we would like applications </w:t>
      </w:r>
      <w:r w:rsidR="0079621A">
        <w:rPr>
          <w:rStyle w:val="ui-provider"/>
          <w:rFonts w:cstheme="minorHAnsi"/>
        </w:rPr>
        <w:t xml:space="preserve">to highlight </w:t>
      </w:r>
      <w:r w:rsidR="00671576" w:rsidRPr="001A41DF">
        <w:rPr>
          <w:rStyle w:val="ui-provider"/>
          <w:rFonts w:cstheme="minorHAnsi"/>
        </w:rPr>
        <w:t xml:space="preserve">what </w:t>
      </w:r>
      <w:r w:rsidR="0079621A">
        <w:rPr>
          <w:rStyle w:val="ui-provider"/>
          <w:rFonts w:cstheme="minorHAnsi"/>
        </w:rPr>
        <w:t>they</w:t>
      </w:r>
      <w:r w:rsidR="00671576" w:rsidRPr="001A41DF">
        <w:rPr>
          <w:rStyle w:val="ui-provider"/>
          <w:rFonts w:cstheme="minorHAnsi"/>
        </w:rPr>
        <w:t xml:space="preserve"> think is realistic to achieve. Therefore, the overall target will not be published.</w:t>
      </w:r>
    </w:p>
    <w:p w14:paraId="21EA7DBF" w14:textId="77777777" w:rsidR="008208F4" w:rsidRPr="0098123A" w:rsidRDefault="008208F4" w:rsidP="008F2BE0">
      <w:pPr>
        <w:spacing w:after="0"/>
        <w:rPr>
          <w:rStyle w:val="ui-provider"/>
          <w:rFonts w:cstheme="minorHAnsi"/>
        </w:rPr>
      </w:pPr>
    </w:p>
    <w:p w14:paraId="33346E74" w14:textId="16BCD565" w:rsidR="00405777" w:rsidRPr="00C2224D" w:rsidRDefault="00405777" w:rsidP="008F2BE0">
      <w:pPr>
        <w:spacing w:after="0"/>
        <w:rPr>
          <w:rStyle w:val="ui-provider"/>
          <w:rFonts w:cstheme="minorHAnsi"/>
          <w:b/>
          <w:bCs/>
        </w:rPr>
      </w:pPr>
      <w:r>
        <w:rPr>
          <w:rStyle w:val="ui-provider"/>
          <w:rFonts w:cstheme="minorHAnsi"/>
          <w:b/>
          <w:bCs/>
        </w:rPr>
        <w:t>The application guidance states that LCRCA “will also review any additional outputs and outcomes you aim to deliver” – is there any merit in proposing relevant additional outputs/outcomes?</w:t>
      </w:r>
    </w:p>
    <w:p w14:paraId="3A728E91" w14:textId="61A821A0" w:rsidR="007F28FF" w:rsidRDefault="00FF01FA" w:rsidP="008F2BE0">
      <w:pPr>
        <w:spacing w:after="0"/>
        <w:rPr>
          <w:rStyle w:val="ui-provider"/>
          <w:rFonts w:cstheme="minorHAnsi"/>
        </w:rPr>
      </w:pPr>
      <w:r>
        <w:rPr>
          <w:rStyle w:val="ui-provider"/>
          <w:rFonts w:cstheme="minorHAnsi"/>
        </w:rPr>
        <w:t xml:space="preserve"> It is recommended that applications focus on the key outputs and outcomes noted under this funding call. However, any additional </w:t>
      </w:r>
      <w:r w:rsidR="000B1CE4">
        <w:rPr>
          <w:rStyle w:val="ui-provider"/>
          <w:rFonts w:cstheme="minorHAnsi"/>
        </w:rPr>
        <w:t xml:space="preserve">and relevant </w:t>
      </w:r>
      <w:r w:rsidR="00286D85">
        <w:rPr>
          <w:rStyle w:val="eop"/>
        </w:rPr>
        <w:t>o</w:t>
      </w:r>
      <w:r w:rsidR="00286D85" w:rsidRPr="00290316">
        <w:rPr>
          <w:rStyle w:val="eop"/>
        </w:rPr>
        <w:t xml:space="preserve">utputs and outcomes outside of those agreed for this call </w:t>
      </w:r>
      <w:r w:rsidR="00286D85">
        <w:rPr>
          <w:rStyle w:val="eop"/>
        </w:rPr>
        <w:t xml:space="preserve">can be counted </w:t>
      </w:r>
      <w:r w:rsidR="001F1EAF">
        <w:rPr>
          <w:rStyle w:val="eop"/>
        </w:rPr>
        <w:t>though</w:t>
      </w:r>
      <w:r w:rsidR="00286D85">
        <w:rPr>
          <w:rStyle w:val="eop"/>
        </w:rPr>
        <w:t xml:space="preserve"> are not required and </w:t>
      </w:r>
      <w:r w:rsidR="00286D85" w:rsidRPr="00290316">
        <w:rPr>
          <w:rStyle w:val="eop"/>
        </w:rPr>
        <w:t>will carry less weight</w:t>
      </w:r>
      <w:r w:rsidR="000E2AE8">
        <w:rPr>
          <w:rStyle w:val="ui-provider"/>
          <w:rFonts w:cstheme="minorHAnsi"/>
        </w:rPr>
        <w:t>.</w:t>
      </w:r>
    </w:p>
    <w:p w14:paraId="65252816" w14:textId="77777777" w:rsidR="00C2224D" w:rsidRPr="00C2224D" w:rsidRDefault="00C2224D" w:rsidP="008F2BE0">
      <w:pPr>
        <w:spacing w:after="0"/>
        <w:rPr>
          <w:rStyle w:val="ui-provider"/>
          <w:rFonts w:cstheme="minorHAnsi"/>
        </w:rPr>
      </w:pPr>
    </w:p>
    <w:p w14:paraId="5DE44B48" w14:textId="6AA8B8D3" w:rsidR="00471CFD" w:rsidRPr="00C2224D" w:rsidRDefault="000E2AE8" w:rsidP="008F2BE0">
      <w:pPr>
        <w:spacing w:after="0"/>
        <w:rPr>
          <w:rStyle w:val="ui-provider"/>
          <w:rFonts w:cstheme="minorHAnsi"/>
          <w:b/>
          <w:bCs/>
        </w:rPr>
      </w:pPr>
      <w:r>
        <w:rPr>
          <w:rStyle w:val="ui-provider"/>
          <w:rFonts w:cstheme="minorHAnsi"/>
          <w:b/>
          <w:bCs/>
        </w:rPr>
        <w:t>Can job searching be classed as an outcome?</w:t>
      </w:r>
    </w:p>
    <w:p w14:paraId="2C023CEC" w14:textId="3D2B28C7" w:rsidR="00290316" w:rsidRDefault="00FF6AC0" w:rsidP="008F2BE0">
      <w:pPr>
        <w:spacing w:after="0" w:line="278" w:lineRule="auto"/>
        <w:rPr>
          <w:rStyle w:val="ui-provider"/>
          <w:rFonts w:cstheme="minorHAnsi"/>
        </w:rPr>
      </w:pPr>
      <w:r>
        <w:rPr>
          <w:rStyle w:val="ui-provider"/>
          <w:rFonts w:cstheme="minorHAnsi"/>
        </w:rPr>
        <w:t xml:space="preserve"> The focus of outcomes should be on supporting individuals into employment or </w:t>
      </w:r>
      <w:r w:rsidR="00DC0B52">
        <w:rPr>
          <w:rStyle w:val="ui-provider"/>
          <w:rFonts w:cstheme="minorHAnsi"/>
        </w:rPr>
        <w:t>training,</w:t>
      </w:r>
      <w:r>
        <w:rPr>
          <w:rStyle w:val="ui-provider"/>
          <w:rFonts w:cstheme="minorHAnsi"/>
        </w:rPr>
        <w:t xml:space="preserve"> but job searches can</w:t>
      </w:r>
      <w:r w:rsidR="00631F35">
        <w:rPr>
          <w:rStyle w:val="ui-provider"/>
          <w:rFonts w:cstheme="minorHAnsi"/>
        </w:rPr>
        <w:t xml:space="preserve"> be classed as outcomes.</w:t>
      </w:r>
    </w:p>
    <w:p w14:paraId="6E8A459D" w14:textId="77777777" w:rsidR="00B819D0" w:rsidRDefault="00B819D0" w:rsidP="008F2BE0">
      <w:pPr>
        <w:spacing w:after="0" w:line="278" w:lineRule="auto"/>
        <w:rPr>
          <w:rStyle w:val="ui-provider"/>
          <w:rFonts w:cstheme="minorHAnsi"/>
        </w:rPr>
      </w:pPr>
    </w:p>
    <w:p w14:paraId="5736C585" w14:textId="77777777" w:rsidR="00B819D0" w:rsidRPr="00B819D0" w:rsidRDefault="00B819D0" w:rsidP="00B819D0">
      <w:pPr>
        <w:spacing w:after="0" w:line="240" w:lineRule="auto"/>
        <w:rPr>
          <w:rFonts w:eastAsia="Times New Roman"/>
          <w:b/>
          <w:bCs/>
        </w:rPr>
      </w:pPr>
      <w:r w:rsidRPr="00B819D0">
        <w:rPr>
          <w:rFonts w:eastAsia="Times New Roman"/>
          <w:b/>
          <w:bCs/>
        </w:rPr>
        <w:t>For the avoidance of doubt, does a proposed service need to be delivered across all Local Authority areas across Liverpool City Region simultaneously through the 12-month project life?</w:t>
      </w:r>
    </w:p>
    <w:p w14:paraId="66FBEBA1" w14:textId="77777777" w:rsidR="00B819D0" w:rsidRPr="00B819D0" w:rsidRDefault="00B819D0" w:rsidP="00B819D0">
      <w:pPr>
        <w:rPr>
          <w:rStyle w:val="ui-provider"/>
          <w:rFonts w:cstheme="minorHAnsi"/>
        </w:rPr>
      </w:pPr>
      <w:r w:rsidRPr="00B819D0">
        <w:rPr>
          <w:rStyle w:val="ui-provider"/>
          <w:rFonts w:cstheme="minorHAnsi"/>
        </w:rPr>
        <w:t>No, but we would expect delivery throughout the LCR and reflective of the funding allocation per local authority area.</w:t>
      </w:r>
    </w:p>
    <w:p w14:paraId="3E0E6C19" w14:textId="77777777" w:rsidR="00B819D0" w:rsidRDefault="00B819D0" w:rsidP="008F2BE0">
      <w:pPr>
        <w:spacing w:after="0" w:line="278" w:lineRule="auto"/>
        <w:rPr>
          <w:rStyle w:val="ui-provider"/>
          <w:rFonts w:cstheme="minorHAnsi"/>
        </w:rPr>
      </w:pPr>
    </w:p>
    <w:p w14:paraId="4A4C66E3" w14:textId="77777777" w:rsidR="00A15A89" w:rsidRDefault="00A15A89" w:rsidP="008F2BE0">
      <w:pPr>
        <w:spacing w:after="0" w:line="278" w:lineRule="auto"/>
        <w:rPr>
          <w:rStyle w:val="ui-provider"/>
          <w:rFonts w:cstheme="minorHAnsi"/>
        </w:rPr>
      </w:pPr>
    </w:p>
    <w:p w14:paraId="4529D75B" w14:textId="29F74F2C" w:rsidR="00A15A89" w:rsidRDefault="00A15A89" w:rsidP="008F2BE0">
      <w:pPr>
        <w:spacing w:after="0" w:line="278" w:lineRule="auto"/>
        <w:rPr>
          <w:rStyle w:val="ui-provider"/>
          <w:rFonts w:cstheme="minorHAnsi"/>
          <w:b/>
          <w:bCs/>
        </w:rPr>
      </w:pPr>
      <w:r w:rsidRPr="005D764B">
        <w:rPr>
          <w:rStyle w:val="ui-provider"/>
          <w:rFonts w:cstheme="minorHAnsi"/>
          <w:b/>
          <w:bCs/>
        </w:rPr>
        <w:lastRenderedPageBreak/>
        <w:t>Can you tell us where we can find more information about Ways to Work?</w:t>
      </w:r>
    </w:p>
    <w:p w14:paraId="110604B9" w14:textId="72651429" w:rsidR="005D764B" w:rsidRPr="002714F7" w:rsidRDefault="005D764B" w:rsidP="008F2BE0">
      <w:pPr>
        <w:spacing w:after="0" w:line="278" w:lineRule="auto"/>
        <w:rPr>
          <w:rStyle w:val="ui-provider"/>
          <w:rFonts w:cstheme="minorHAnsi"/>
        </w:rPr>
      </w:pPr>
      <w:r w:rsidRPr="002714F7">
        <w:rPr>
          <w:rStyle w:val="ui-provider"/>
          <w:rFonts w:cstheme="minorHAnsi"/>
        </w:rPr>
        <w:t>Please refer to the Local authority websites for further information regarding Ways to Work delivery in your local area across the Liverpool City Region</w:t>
      </w:r>
      <w:r w:rsidR="002714F7" w:rsidRPr="002714F7">
        <w:rPr>
          <w:rStyle w:val="ui-provider"/>
          <w:rFonts w:cstheme="minorHAnsi"/>
        </w:rPr>
        <w:t>.</w:t>
      </w:r>
    </w:p>
    <w:p w14:paraId="0E16F04C" w14:textId="77777777" w:rsidR="00631F35" w:rsidRDefault="00631F35" w:rsidP="008F2BE0">
      <w:pPr>
        <w:spacing w:after="0" w:line="278" w:lineRule="auto"/>
        <w:rPr>
          <w:rStyle w:val="ui-provider"/>
          <w:rFonts w:cstheme="minorHAnsi"/>
        </w:rPr>
      </w:pPr>
    </w:p>
    <w:p w14:paraId="5BF82ED9" w14:textId="772501D2" w:rsidR="00290316" w:rsidRPr="00290316" w:rsidRDefault="00290316" w:rsidP="008F2BE0">
      <w:pPr>
        <w:pStyle w:val="paragraph"/>
        <w:spacing w:before="0" w:beforeAutospacing="0" w:after="0" w:afterAutospacing="0"/>
        <w:textAlignment w:val="baseline"/>
        <w:rPr>
          <w:rStyle w:val="eop"/>
          <w:rFonts w:asciiTheme="minorHAnsi" w:hAnsiTheme="minorHAnsi" w:cstheme="minorBidi"/>
          <w:b/>
          <w:bCs/>
          <w:sz w:val="22"/>
          <w:szCs w:val="22"/>
        </w:rPr>
      </w:pPr>
      <w:r w:rsidRPr="00290316">
        <w:rPr>
          <w:rStyle w:val="normaltextrun"/>
          <w:rFonts w:asciiTheme="minorHAnsi" w:hAnsiTheme="minorHAnsi" w:cstheme="minorBidi"/>
          <w:b/>
          <w:bCs/>
          <w:sz w:val="22"/>
          <w:szCs w:val="22"/>
          <w:lang w:val="en-GB"/>
        </w:rPr>
        <w:t xml:space="preserve">Could </w:t>
      </w:r>
      <w:r>
        <w:rPr>
          <w:rStyle w:val="normaltextrun"/>
          <w:rFonts w:asciiTheme="minorHAnsi" w:hAnsiTheme="minorHAnsi" w:cstheme="minorBidi"/>
          <w:b/>
          <w:bCs/>
          <w:sz w:val="22"/>
          <w:szCs w:val="22"/>
          <w:lang w:val="en-GB"/>
        </w:rPr>
        <w:t xml:space="preserve">referral into another service for training e.g. Ways to Work </w:t>
      </w:r>
      <w:r w:rsidR="00891ABD">
        <w:rPr>
          <w:rStyle w:val="normaltextrun"/>
          <w:rFonts w:asciiTheme="minorHAnsi" w:hAnsiTheme="minorHAnsi" w:cstheme="minorBidi"/>
          <w:b/>
          <w:bCs/>
          <w:sz w:val="22"/>
          <w:szCs w:val="22"/>
          <w:lang w:val="en-GB"/>
        </w:rPr>
        <w:t xml:space="preserve">be deemed an eligible </w:t>
      </w:r>
      <w:r w:rsidRPr="00290316">
        <w:rPr>
          <w:rStyle w:val="normaltextrun"/>
          <w:rFonts w:asciiTheme="minorHAnsi" w:hAnsiTheme="minorHAnsi" w:cstheme="minorBidi"/>
          <w:b/>
          <w:bCs/>
          <w:sz w:val="22"/>
          <w:szCs w:val="22"/>
          <w:lang w:val="en-GB"/>
        </w:rPr>
        <w:t>outcome</w:t>
      </w:r>
      <w:r w:rsidRPr="00290316">
        <w:rPr>
          <w:rStyle w:val="eop"/>
          <w:rFonts w:asciiTheme="minorHAnsi" w:hAnsiTheme="minorHAnsi" w:cstheme="minorBidi"/>
          <w:b/>
          <w:bCs/>
          <w:sz w:val="22"/>
          <w:szCs w:val="22"/>
        </w:rPr>
        <w:t>?</w:t>
      </w:r>
    </w:p>
    <w:p w14:paraId="17C31B84" w14:textId="77777777" w:rsidR="00290316" w:rsidRPr="000E1A2B" w:rsidRDefault="00290316" w:rsidP="008F2BE0">
      <w:pPr>
        <w:pStyle w:val="paragraph"/>
        <w:spacing w:before="0" w:beforeAutospacing="0" w:after="0" w:afterAutospacing="0"/>
        <w:textAlignment w:val="baseline"/>
        <w:rPr>
          <w:rStyle w:val="eop"/>
          <w:rFonts w:asciiTheme="minorHAnsi" w:hAnsiTheme="minorHAnsi" w:cstheme="minorBidi"/>
          <w:sz w:val="22"/>
          <w:szCs w:val="22"/>
        </w:rPr>
      </w:pPr>
    </w:p>
    <w:p w14:paraId="7C3B504D" w14:textId="77777777" w:rsidR="00CC12F2" w:rsidRDefault="00290316" w:rsidP="008F2BE0">
      <w:pPr>
        <w:pStyle w:val="paragraph"/>
        <w:spacing w:before="0" w:beforeAutospacing="0" w:after="0" w:afterAutospacing="0"/>
        <w:textAlignment w:val="baseline"/>
        <w:rPr>
          <w:rStyle w:val="eop"/>
          <w:rFonts w:asciiTheme="minorHAnsi" w:hAnsiTheme="minorHAnsi" w:cstheme="minorBidi"/>
          <w:sz w:val="22"/>
          <w:szCs w:val="22"/>
        </w:rPr>
      </w:pPr>
      <w:r w:rsidRPr="00290316">
        <w:rPr>
          <w:rStyle w:val="eop"/>
          <w:rFonts w:asciiTheme="minorHAnsi" w:hAnsiTheme="minorHAnsi" w:cstheme="minorBidi"/>
          <w:sz w:val="22"/>
          <w:szCs w:val="22"/>
        </w:rPr>
        <w:t xml:space="preserve">A referral to another service could be eligible, however, for bids to score highly they need to demonstrably deliver against the stated outputs and outcomes. Outputs and outcomes outside of those agreed for this call </w:t>
      </w:r>
      <w:r w:rsidR="009B5C56">
        <w:rPr>
          <w:rStyle w:val="eop"/>
          <w:rFonts w:asciiTheme="minorHAnsi" w:hAnsiTheme="minorHAnsi" w:cstheme="minorBidi"/>
          <w:sz w:val="22"/>
          <w:szCs w:val="22"/>
        </w:rPr>
        <w:t xml:space="preserve">can be counted but are not required and </w:t>
      </w:r>
      <w:r w:rsidRPr="00290316">
        <w:rPr>
          <w:rStyle w:val="eop"/>
          <w:rFonts w:asciiTheme="minorHAnsi" w:hAnsiTheme="minorHAnsi" w:cstheme="minorBidi"/>
          <w:sz w:val="22"/>
          <w:szCs w:val="22"/>
        </w:rPr>
        <w:t>will carry less weight.</w:t>
      </w:r>
      <w:r w:rsidR="002913A6">
        <w:rPr>
          <w:rStyle w:val="eop"/>
          <w:rFonts w:asciiTheme="minorHAnsi" w:hAnsiTheme="minorHAnsi" w:cstheme="minorBidi"/>
          <w:sz w:val="22"/>
          <w:szCs w:val="22"/>
        </w:rPr>
        <w:t xml:space="preserve"> </w:t>
      </w:r>
    </w:p>
    <w:p w14:paraId="133CA6E1" w14:textId="77777777" w:rsidR="00CC12F2" w:rsidRDefault="00CC12F2" w:rsidP="008F2BE0">
      <w:pPr>
        <w:pStyle w:val="paragraph"/>
        <w:spacing w:before="0" w:beforeAutospacing="0" w:after="0" w:afterAutospacing="0"/>
        <w:textAlignment w:val="baseline"/>
        <w:rPr>
          <w:rStyle w:val="eop"/>
          <w:rFonts w:asciiTheme="minorHAnsi" w:hAnsiTheme="minorHAnsi" w:cstheme="minorBidi"/>
          <w:sz w:val="22"/>
          <w:szCs w:val="22"/>
        </w:rPr>
      </w:pPr>
    </w:p>
    <w:p w14:paraId="5B2A20A9" w14:textId="0FA049D2" w:rsidR="00290316" w:rsidRPr="00290316" w:rsidRDefault="00A76A2B" w:rsidP="008F2BE0">
      <w:pPr>
        <w:pStyle w:val="paragraph"/>
        <w:spacing w:before="0" w:beforeAutospacing="0" w:after="0" w:afterAutospacing="0"/>
        <w:textAlignment w:val="baseline"/>
        <w:rPr>
          <w:rStyle w:val="eop"/>
          <w:rFonts w:asciiTheme="minorHAnsi" w:hAnsiTheme="minorHAnsi" w:cstheme="minorBidi"/>
          <w:sz w:val="22"/>
          <w:szCs w:val="22"/>
        </w:rPr>
      </w:pPr>
      <w:r>
        <w:rPr>
          <w:rStyle w:val="eop"/>
          <w:rFonts w:asciiTheme="minorHAnsi" w:hAnsiTheme="minorHAnsi" w:cstheme="minorBidi"/>
          <w:sz w:val="22"/>
          <w:szCs w:val="22"/>
        </w:rPr>
        <w:t>Collaborative and complementary working are key principles to delivery of this funding</w:t>
      </w:r>
      <w:r w:rsidR="00422CA3">
        <w:rPr>
          <w:rStyle w:val="eop"/>
          <w:rFonts w:asciiTheme="minorHAnsi" w:hAnsiTheme="minorHAnsi" w:cstheme="minorBidi"/>
          <w:sz w:val="22"/>
          <w:szCs w:val="22"/>
        </w:rPr>
        <w:t xml:space="preserve"> so there is an expectation that </w:t>
      </w:r>
      <w:proofErr w:type="spellStart"/>
      <w:r w:rsidR="00387FF8">
        <w:rPr>
          <w:rStyle w:val="eop"/>
          <w:rFonts w:asciiTheme="minorHAnsi" w:hAnsiTheme="minorHAnsi" w:cstheme="minorBidi"/>
          <w:sz w:val="22"/>
          <w:szCs w:val="22"/>
        </w:rPr>
        <w:t>programmes</w:t>
      </w:r>
      <w:proofErr w:type="spellEnd"/>
      <w:r w:rsidR="00387FF8">
        <w:rPr>
          <w:rStyle w:val="eop"/>
          <w:rFonts w:asciiTheme="minorHAnsi" w:hAnsiTheme="minorHAnsi" w:cstheme="minorBidi"/>
          <w:sz w:val="22"/>
          <w:szCs w:val="22"/>
        </w:rPr>
        <w:t xml:space="preserve"> </w:t>
      </w:r>
      <w:r w:rsidR="00F05F94">
        <w:rPr>
          <w:rStyle w:val="eop"/>
          <w:rFonts w:asciiTheme="minorHAnsi" w:hAnsiTheme="minorHAnsi" w:cstheme="minorBidi"/>
          <w:sz w:val="22"/>
          <w:szCs w:val="22"/>
        </w:rPr>
        <w:t xml:space="preserve">will collaborate and cross-refer. Referral to other </w:t>
      </w:r>
      <w:proofErr w:type="spellStart"/>
      <w:r w:rsidR="00F05F94">
        <w:rPr>
          <w:rStyle w:val="eop"/>
          <w:rFonts w:asciiTheme="minorHAnsi" w:hAnsiTheme="minorHAnsi" w:cstheme="minorBidi"/>
          <w:sz w:val="22"/>
          <w:szCs w:val="22"/>
        </w:rPr>
        <w:t>programmes</w:t>
      </w:r>
      <w:proofErr w:type="spellEnd"/>
      <w:r w:rsidR="00F05F94">
        <w:rPr>
          <w:rStyle w:val="eop"/>
          <w:rFonts w:asciiTheme="minorHAnsi" w:hAnsiTheme="minorHAnsi" w:cstheme="minorBidi"/>
          <w:sz w:val="22"/>
          <w:szCs w:val="22"/>
        </w:rPr>
        <w:t xml:space="preserve"> can also therefore be counted as outcomes.</w:t>
      </w:r>
    </w:p>
    <w:p w14:paraId="507C4C31" w14:textId="77777777" w:rsidR="0051228E" w:rsidRDefault="0051228E" w:rsidP="008F2BE0">
      <w:pPr>
        <w:pStyle w:val="paragraph"/>
        <w:spacing w:before="0" w:beforeAutospacing="0" w:after="0" w:afterAutospacing="0"/>
        <w:textAlignment w:val="baseline"/>
        <w:rPr>
          <w:rStyle w:val="normaltextrun"/>
          <w:rFonts w:asciiTheme="minorHAnsi" w:hAnsiTheme="minorHAnsi" w:cstheme="minorBidi"/>
          <w:sz w:val="22"/>
          <w:szCs w:val="22"/>
        </w:rPr>
      </w:pPr>
    </w:p>
    <w:p w14:paraId="50072069" w14:textId="3D335C57" w:rsidR="00281D0B" w:rsidRPr="00B601EB" w:rsidRDefault="00281D0B" w:rsidP="008F2BE0">
      <w:pPr>
        <w:pStyle w:val="paragraph"/>
        <w:spacing w:before="0" w:beforeAutospacing="0" w:after="0" w:afterAutospacing="0"/>
        <w:textAlignment w:val="baseline"/>
        <w:rPr>
          <w:rStyle w:val="normaltextrun"/>
          <w:rFonts w:asciiTheme="minorHAnsi" w:hAnsiTheme="minorHAnsi" w:cstheme="minorHAnsi"/>
          <w:b/>
          <w:bCs/>
          <w:sz w:val="22"/>
          <w:szCs w:val="22"/>
        </w:rPr>
      </w:pPr>
      <w:r>
        <w:rPr>
          <w:rStyle w:val="normaltextrun"/>
          <w:rFonts w:asciiTheme="minorHAnsi" w:hAnsiTheme="minorHAnsi" w:cstheme="minorHAnsi"/>
          <w:b/>
          <w:bCs/>
          <w:sz w:val="22"/>
          <w:szCs w:val="22"/>
        </w:rPr>
        <w:t>How will the different outputs and outcomes be scored?</w:t>
      </w:r>
    </w:p>
    <w:p w14:paraId="7A62FB9B" w14:textId="77777777" w:rsidR="00E5641C" w:rsidRDefault="00E5641C" w:rsidP="008F2BE0">
      <w:pPr>
        <w:pStyle w:val="paragraph"/>
        <w:spacing w:before="0" w:beforeAutospacing="0" w:after="0" w:afterAutospacing="0"/>
        <w:textAlignment w:val="baseline"/>
        <w:rPr>
          <w:rStyle w:val="normaltextrun"/>
          <w:rFonts w:asciiTheme="minorHAnsi" w:hAnsiTheme="minorHAnsi" w:cstheme="minorBidi"/>
          <w:iCs/>
          <w:sz w:val="22"/>
          <w:szCs w:val="22"/>
        </w:rPr>
      </w:pPr>
      <w:r w:rsidRPr="00B601EB">
        <w:rPr>
          <w:rStyle w:val="normaltextrun"/>
          <w:rFonts w:asciiTheme="minorHAnsi" w:hAnsiTheme="minorHAnsi" w:cstheme="minorBidi"/>
          <w:iCs/>
          <w:sz w:val="22"/>
          <w:szCs w:val="22"/>
        </w:rPr>
        <w:t xml:space="preserve"> Applications will be assessed and scored with a cumulative assessment being made.</w:t>
      </w:r>
    </w:p>
    <w:p w14:paraId="7A376901" w14:textId="77777777" w:rsidR="007C2548" w:rsidRPr="00B601EB" w:rsidRDefault="007C2548" w:rsidP="008F2BE0">
      <w:pPr>
        <w:pStyle w:val="paragraph"/>
        <w:spacing w:before="0" w:beforeAutospacing="0" w:after="0" w:afterAutospacing="0"/>
        <w:textAlignment w:val="baseline"/>
        <w:rPr>
          <w:rStyle w:val="normaltextrun"/>
          <w:rFonts w:asciiTheme="minorHAnsi" w:hAnsiTheme="minorHAnsi" w:cstheme="minorBidi"/>
          <w:iCs/>
          <w:sz w:val="22"/>
          <w:szCs w:val="22"/>
        </w:rPr>
      </w:pPr>
    </w:p>
    <w:p w14:paraId="6B373E98" w14:textId="38790682" w:rsidR="00E5641C" w:rsidRPr="00B601EB" w:rsidRDefault="00E5641C" w:rsidP="008F2BE0">
      <w:pPr>
        <w:pStyle w:val="paragraph"/>
        <w:spacing w:before="0" w:beforeAutospacing="0" w:after="0" w:afterAutospacing="0"/>
        <w:textAlignment w:val="baseline"/>
        <w:rPr>
          <w:rStyle w:val="normaltextrun"/>
          <w:rFonts w:asciiTheme="minorHAnsi" w:hAnsiTheme="minorHAnsi" w:cstheme="minorHAnsi"/>
          <w:b/>
          <w:bCs/>
          <w:sz w:val="22"/>
          <w:szCs w:val="22"/>
        </w:rPr>
      </w:pPr>
      <w:r w:rsidRPr="00B601EB">
        <w:rPr>
          <w:rStyle w:val="normaltextrun"/>
          <w:rFonts w:asciiTheme="minorHAnsi" w:hAnsiTheme="minorHAnsi" w:cstheme="minorHAnsi"/>
          <w:b/>
          <w:bCs/>
          <w:sz w:val="22"/>
          <w:szCs w:val="22"/>
          <w:lang w:val="en-GB"/>
        </w:rPr>
        <w:t xml:space="preserve">For the </w:t>
      </w:r>
      <w:r w:rsidR="007C2548">
        <w:rPr>
          <w:rStyle w:val="normaltextrun"/>
          <w:rFonts w:asciiTheme="minorHAnsi" w:hAnsiTheme="minorHAnsi" w:cstheme="minorHAnsi"/>
          <w:b/>
          <w:bCs/>
          <w:sz w:val="22"/>
          <w:szCs w:val="22"/>
          <w:lang w:val="en-GB"/>
        </w:rPr>
        <w:t>‘</w:t>
      </w:r>
      <w:r w:rsidRPr="00B601EB">
        <w:rPr>
          <w:rStyle w:val="normaltextrun"/>
          <w:rFonts w:asciiTheme="minorHAnsi" w:hAnsiTheme="minorHAnsi" w:cstheme="minorHAnsi"/>
          <w:b/>
          <w:bCs/>
          <w:sz w:val="22"/>
          <w:szCs w:val="22"/>
          <w:lang w:val="en-GB"/>
        </w:rPr>
        <w:t>into training</w:t>
      </w:r>
      <w:r w:rsidR="007C2548">
        <w:rPr>
          <w:rStyle w:val="normaltextrun"/>
          <w:rFonts w:asciiTheme="minorHAnsi" w:hAnsiTheme="minorHAnsi" w:cstheme="minorHAnsi"/>
          <w:b/>
          <w:bCs/>
          <w:sz w:val="22"/>
          <w:szCs w:val="22"/>
          <w:lang w:val="en-GB"/>
        </w:rPr>
        <w:t>’</w:t>
      </w:r>
      <w:r w:rsidRPr="00B601EB">
        <w:rPr>
          <w:rStyle w:val="normaltextrun"/>
          <w:rFonts w:asciiTheme="minorHAnsi" w:hAnsiTheme="minorHAnsi" w:cstheme="minorHAnsi"/>
          <w:b/>
          <w:bCs/>
          <w:sz w:val="22"/>
          <w:szCs w:val="22"/>
          <w:lang w:val="en-GB"/>
        </w:rPr>
        <w:t xml:space="preserve"> outcome</w:t>
      </w:r>
      <w:r w:rsidR="007C2548">
        <w:rPr>
          <w:rStyle w:val="normaltextrun"/>
          <w:rFonts w:asciiTheme="minorHAnsi" w:hAnsiTheme="minorHAnsi" w:cstheme="minorHAnsi"/>
          <w:b/>
          <w:bCs/>
          <w:sz w:val="22"/>
          <w:szCs w:val="22"/>
          <w:lang w:val="en-GB"/>
        </w:rPr>
        <w:t>,</w:t>
      </w:r>
      <w:r w:rsidRPr="00B601EB">
        <w:rPr>
          <w:rStyle w:val="normaltextrun"/>
          <w:rFonts w:asciiTheme="minorHAnsi" w:hAnsiTheme="minorHAnsi" w:cstheme="minorHAnsi"/>
          <w:b/>
          <w:bCs/>
          <w:sz w:val="22"/>
          <w:szCs w:val="22"/>
          <w:lang w:val="en-GB"/>
        </w:rPr>
        <w:t xml:space="preserve"> the indicator document states ‘</w:t>
      </w:r>
      <w:r w:rsidRPr="00B601EB">
        <w:rPr>
          <w:rStyle w:val="normaltextrun"/>
          <w:rFonts w:asciiTheme="minorHAnsi" w:hAnsiTheme="minorHAnsi" w:cstheme="minorHAnsi"/>
          <w:b/>
          <w:bCs/>
          <w:sz w:val="22"/>
          <w:szCs w:val="22"/>
        </w:rPr>
        <w:t xml:space="preserve">People who have received support and who are newly engaged in education (lifelong learning, formal education) or training activities (off-the-job/in-the-job training, vocational training, etc.) immediately upon leaving the project’ do you interpret that to include </w:t>
      </w:r>
      <w:r w:rsidRPr="00B601EB">
        <w:rPr>
          <w:rStyle w:val="normaltextrun"/>
          <w:rFonts w:asciiTheme="minorHAnsi" w:hAnsiTheme="minorHAnsi" w:cstheme="minorHAnsi"/>
          <w:b/>
          <w:bCs/>
          <w:sz w:val="22"/>
          <w:szCs w:val="22"/>
          <w:lang w:val="en-GB"/>
        </w:rPr>
        <w:t xml:space="preserve">functional skills training such as basic IT skills or conversational </w:t>
      </w:r>
      <w:r w:rsidR="00DC3793" w:rsidRPr="00B601EB">
        <w:rPr>
          <w:rStyle w:val="normaltextrun"/>
          <w:rFonts w:asciiTheme="minorHAnsi" w:hAnsiTheme="minorHAnsi" w:cstheme="minorHAnsi"/>
          <w:b/>
          <w:bCs/>
          <w:sz w:val="22"/>
          <w:szCs w:val="22"/>
          <w:lang w:val="en-GB"/>
        </w:rPr>
        <w:t>English?</w:t>
      </w:r>
      <w:r w:rsidRPr="00B601EB">
        <w:rPr>
          <w:rStyle w:val="normaltextrun"/>
          <w:rFonts w:asciiTheme="minorHAnsi" w:hAnsiTheme="minorHAnsi" w:cstheme="minorHAnsi"/>
          <w:b/>
          <w:bCs/>
          <w:sz w:val="22"/>
          <w:szCs w:val="22"/>
          <w:lang w:val="en-GB"/>
        </w:rPr>
        <w:t xml:space="preserve"> </w:t>
      </w:r>
    </w:p>
    <w:p w14:paraId="41694900" w14:textId="77777777" w:rsidR="00E5641C" w:rsidRPr="00B601EB" w:rsidRDefault="00E5641C" w:rsidP="008F2BE0">
      <w:pPr>
        <w:pStyle w:val="paragraph"/>
        <w:spacing w:before="0" w:beforeAutospacing="0" w:after="0" w:afterAutospacing="0"/>
        <w:textAlignment w:val="baseline"/>
        <w:rPr>
          <w:rStyle w:val="normaltextrun"/>
          <w:rFonts w:asciiTheme="minorHAnsi" w:hAnsiTheme="minorHAnsi" w:cstheme="minorHAnsi"/>
          <w:sz w:val="22"/>
          <w:szCs w:val="22"/>
          <w:lang w:val="en-GB"/>
        </w:rPr>
      </w:pPr>
      <w:r w:rsidRPr="00B601EB">
        <w:rPr>
          <w:rStyle w:val="normaltextrun"/>
          <w:rFonts w:asciiTheme="minorHAnsi" w:hAnsiTheme="minorHAnsi" w:cstheme="minorHAnsi"/>
          <w:sz w:val="22"/>
          <w:szCs w:val="22"/>
          <w:lang w:val="en-GB"/>
        </w:rPr>
        <w:t>Yes, these examples would be acceptable.</w:t>
      </w:r>
    </w:p>
    <w:p w14:paraId="7F226188" w14:textId="77777777" w:rsidR="00E5641C" w:rsidRPr="001D3BD9" w:rsidRDefault="00E5641C" w:rsidP="008F2BE0">
      <w:pPr>
        <w:pStyle w:val="paragraph"/>
        <w:spacing w:before="0" w:beforeAutospacing="0" w:after="0" w:afterAutospacing="0"/>
        <w:textAlignment w:val="baseline"/>
        <w:rPr>
          <w:rFonts w:asciiTheme="minorHAnsi" w:hAnsiTheme="minorHAnsi" w:cstheme="minorHAnsi"/>
          <w:i/>
          <w:iCs/>
          <w:sz w:val="22"/>
          <w:szCs w:val="22"/>
        </w:rPr>
      </w:pPr>
    </w:p>
    <w:p w14:paraId="6504AB1F" w14:textId="20E4DD28" w:rsidR="00E5641C" w:rsidRPr="002D5DDC" w:rsidRDefault="00E5641C" w:rsidP="008F2BE0">
      <w:pPr>
        <w:pStyle w:val="paragraph"/>
        <w:spacing w:before="0" w:beforeAutospacing="0" w:after="0" w:afterAutospacing="0"/>
        <w:textAlignment w:val="baseline"/>
        <w:rPr>
          <w:rStyle w:val="eop"/>
          <w:rFonts w:asciiTheme="minorHAnsi" w:hAnsiTheme="minorHAnsi" w:cstheme="minorBidi"/>
          <w:b/>
          <w:bCs/>
          <w:sz w:val="22"/>
          <w:szCs w:val="22"/>
        </w:rPr>
      </w:pPr>
      <w:r w:rsidRPr="002D5DDC">
        <w:rPr>
          <w:rStyle w:val="normaltextrun"/>
          <w:rFonts w:asciiTheme="minorHAnsi" w:hAnsiTheme="minorHAnsi" w:cstheme="minorBidi"/>
          <w:b/>
          <w:bCs/>
          <w:sz w:val="22"/>
          <w:szCs w:val="22"/>
          <w:lang w:val="en-GB"/>
        </w:rPr>
        <w:t xml:space="preserve">Are you working to the ESF basic skills definition or a boarder one to incorporate ‘functional </w:t>
      </w:r>
      <w:proofErr w:type="gramStart"/>
      <w:r w:rsidRPr="002D5DDC">
        <w:rPr>
          <w:rStyle w:val="normaltextrun"/>
          <w:rFonts w:asciiTheme="minorHAnsi" w:hAnsiTheme="minorHAnsi" w:cstheme="minorBidi"/>
          <w:b/>
          <w:bCs/>
          <w:sz w:val="22"/>
          <w:szCs w:val="22"/>
          <w:lang w:val="en-GB"/>
        </w:rPr>
        <w:t>skills</w:t>
      </w:r>
      <w:r w:rsidR="00DC3793" w:rsidRPr="002D5DDC">
        <w:rPr>
          <w:rStyle w:val="normaltextrun"/>
          <w:rFonts w:asciiTheme="minorHAnsi" w:hAnsiTheme="minorHAnsi" w:cstheme="minorBidi"/>
          <w:b/>
          <w:bCs/>
          <w:sz w:val="22"/>
          <w:szCs w:val="22"/>
          <w:lang w:val="en-GB"/>
        </w:rPr>
        <w:t>’</w:t>
      </w:r>
      <w:proofErr w:type="gramEnd"/>
      <w:r w:rsidR="00DC3793" w:rsidRPr="002D5DDC">
        <w:rPr>
          <w:rStyle w:val="eop"/>
          <w:rFonts w:asciiTheme="minorHAnsi" w:hAnsiTheme="minorHAnsi" w:cstheme="minorBidi"/>
          <w:b/>
          <w:bCs/>
          <w:sz w:val="22"/>
          <w:szCs w:val="22"/>
        </w:rPr>
        <w:t>?</w:t>
      </w:r>
    </w:p>
    <w:p w14:paraId="7F25A2E5" w14:textId="77777777" w:rsidR="00E5641C" w:rsidRDefault="00E5641C" w:rsidP="008F2BE0">
      <w:pPr>
        <w:pStyle w:val="paragraph"/>
        <w:spacing w:before="0" w:beforeAutospacing="0" w:after="0" w:afterAutospacing="0"/>
        <w:textAlignment w:val="baseline"/>
        <w:rPr>
          <w:rStyle w:val="eop"/>
          <w:rFonts w:asciiTheme="minorHAnsi" w:hAnsiTheme="minorHAnsi" w:cstheme="minorBidi"/>
          <w:sz w:val="22"/>
          <w:szCs w:val="22"/>
        </w:rPr>
      </w:pPr>
      <w:r w:rsidRPr="002D5DDC">
        <w:rPr>
          <w:rStyle w:val="eop"/>
          <w:rFonts w:asciiTheme="minorHAnsi" w:hAnsiTheme="minorHAnsi" w:cstheme="minorBidi"/>
          <w:sz w:val="22"/>
          <w:szCs w:val="22"/>
        </w:rPr>
        <w:t xml:space="preserve">We are not applying the ESF basic skills definition to this call and will be applying the DLUHC definition of basic skills: skills in English, </w:t>
      </w:r>
      <w:proofErr w:type="spellStart"/>
      <w:r w:rsidRPr="002D5DDC">
        <w:rPr>
          <w:rStyle w:val="eop"/>
          <w:rFonts w:asciiTheme="minorHAnsi" w:hAnsiTheme="minorHAnsi" w:cstheme="minorBidi"/>
          <w:sz w:val="22"/>
          <w:szCs w:val="22"/>
        </w:rPr>
        <w:t>Maths</w:t>
      </w:r>
      <w:proofErr w:type="spellEnd"/>
      <w:r w:rsidRPr="002D5DDC">
        <w:rPr>
          <w:rStyle w:val="eop"/>
          <w:rFonts w:asciiTheme="minorHAnsi" w:hAnsiTheme="minorHAnsi" w:cstheme="minorBidi"/>
          <w:sz w:val="22"/>
          <w:szCs w:val="22"/>
        </w:rPr>
        <w:t>, digital and ESOL.</w:t>
      </w:r>
    </w:p>
    <w:p w14:paraId="13B0DAE2" w14:textId="77777777" w:rsidR="002D5DDC" w:rsidRPr="002D5DDC" w:rsidRDefault="002D5DDC" w:rsidP="008F2BE0">
      <w:pPr>
        <w:pStyle w:val="paragraph"/>
        <w:spacing w:before="0" w:beforeAutospacing="0" w:after="0" w:afterAutospacing="0"/>
        <w:textAlignment w:val="baseline"/>
        <w:rPr>
          <w:rStyle w:val="eop"/>
          <w:rFonts w:asciiTheme="minorHAnsi" w:hAnsiTheme="minorHAnsi" w:cstheme="minorBidi"/>
          <w:sz w:val="22"/>
          <w:szCs w:val="22"/>
        </w:rPr>
      </w:pPr>
    </w:p>
    <w:p w14:paraId="031DF55C" w14:textId="4333B62C" w:rsidR="00F47268" w:rsidRPr="008A5BD1" w:rsidRDefault="00F47268" w:rsidP="008F2BE0">
      <w:pPr>
        <w:spacing w:after="0"/>
        <w:rPr>
          <w:rFonts w:eastAsia="Times New Roman" w:cstheme="minorHAnsi"/>
          <w:b/>
          <w:bCs/>
          <w:color w:val="000000"/>
          <w:lang w:eastAsia="en-GB"/>
        </w:rPr>
      </w:pPr>
      <w:r w:rsidRPr="008A5BD1">
        <w:rPr>
          <w:rFonts w:eastAsia="Times New Roman" w:cstheme="minorHAnsi"/>
          <w:b/>
          <w:bCs/>
          <w:color w:val="000000"/>
          <w:lang w:eastAsia="en-GB"/>
        </w:rPr>
        <w:t xml:space="preserve">In terms of the volumes of outputs and outcomes to be achieved, can </w:t>
      </w:r>
      <w:r w:rsidR="003460F9">
        <w:rPr>
          <w:rFonts w:eastAsia="Times New Roman" w:cstheme="minorHAnsi"/>
          <w:b/>
          <w:bCs/>
          <w:color w:val="000000"/>
          <w:lang w:eastAsia="en-GB"/>
        </w:rPr>
        <w:t>LCRCA</w:t>
      </w:r>
      <w:r w:rsidRPr="008A5BD1">
        <w:rPr>
          <w:rFonts w:eastAsia="Times New Roman" w:cstheme="minorHAnsi"/>
          <w:b/>
          <w:bCs/>
          <w:color w:val="000000"/>
          <w:lang w:eastAsia="en-GB"/>
        </w:rPr>
        <w:t xml:space="preserve"> provide any indicative guidance for what bidders should consider? Are there any targets for E33? </w:t>
      </w:r>
    </w:p>
    <w:p w14:paraId="2F5A7E46" w14:textId="65ED2AE2" w:rsidR="00F47268" w:rsidRPr="008A5BD1" w:rsidRDefault="00F47268" w:rsidP="008F2BE0">
      <w:pPr>
        <w:spacing w:after="0"/>
        <w:rPr>
          <w:rFonts w:eastAsia="Times New Roman" w:cstheme="minorHAnsi"/>
          <w:color w:val="000000"/>
          <w:lang w:eastAsia="en-GB"/>
        </w:rPr>
      </w:pPr>
      <w:r w:rsidRPr="008A5BD1">
        <w:rPr>
          <w:rFonts w:eastAsia="Times New Roman" w:cstheme="minorHAnsi"/>
          <w:color w:val="000000"/>
          <w:lang w:eastAsia="en-GB"/>
        </w:rPr>
        <w:t xml:space="preserve">Further information on E33 can be found on the guidance from the Department of Levelling Up, Housing and Communities (DLUHC) which can be found here: </w:t>
      </w:r>
      <w:hyperlink r:id="rId14" w:history="1">
        <w:r w:rsidR="00AD5E76">
          <w:rPr>
            <w:rStyle w:val="Hyperlink"/>
          </w:rPr>
          <w:t>Interventions list for England - GOV.UK (www.gov.uk)</w:t>
        </w:r>
      </w:hyperlink>
      <w:r w:rsidR="00AD5E76">
        <w:t xml:space="preserve"> </w:t>
      </w:r>
      <w:r w:rsidRPr="008A5BD1">
        <w:rPr>
          <w:rFonts w:eastAsia="Times New Roman" w:cstheme="minorHAnsi"/>
          <w:color w:val="000000"/>
          <w:lang w:eastAsia="en-GB"/>
        </w:rPr>
        <w:t xml:space="preserve">and further information on the definitions for outputs and outcomes as defined by DLUHC can be found here: </w:t>
      </w:r>
      <w:hyperlink r:id="rId15" w:history="1">
        <w:r w:rsidR="00AF3DA0">
          <w:rPr>
            <w:rStyle w:val="Hyperlink"/>
          </w:rPr>
          <w:t>UK Shared Prosperity Fund: outputs and outcomes definitions (2) - GOV.UK (www.gov.uk)</w:t>
        </w:r>
      </w:hyperlink>
      <w:r w:rsidR="00AF3DA0" w:rsidRPr="008A5BD1">
        <w:rPr>
          <w:rFonts w:eastAsia="Times New Roman" w:cstheme="minorHAnsi"/>
          <w:color w:val="000000"/>
          <w:lang w:eastAsia="en-GB"/>
        </w:rPr>
        <w:t xml:space="preserve"> </w:t>
      </w:r>
      <w:r w:rsidRPr="008A5BD1">
        <w:rPr>
          <w:rFonts w:eastAsia="Times New Roman" w:cstheme="minorHAnsi"/>
          <w:color w:val="000000"/>
          <w:lang w:eastAsia="en-GB"/>
        </w:rPr>
        <w:t>(there is a link on that page that takes you to an Excel spreadsheet).</w:t>
      </w:r>
    </w:p>
    <w:p w14:paraId="10A344E4" w14:textId="77777777" w:rsidR="00271B90" w:rsidRDefault="00271B90" w:rsidP="008F2BE0">
      <w:pPr>
        <w:pStyle w:val="Heading1"/>
        <w:spacing w:before="0"/>
      </w:pPr>
    </w:p>
    <w:p w14:paraId="2C25B035" w14:textId="3D897F24" w:rsidR="00271B90" w:rsidRDefault="00271B90" w:rsidP="008F2BE0">
      <w:pPr>
        <w:pStyle w:val="Heading1"/>
        <w:spacing w:before="0"/>
      </w:pPr>
      <w:r>
        <w:t xml:space="preserve">Application </w:t>
      </w:r>
      <w:r w:rsidR="0068312B">
        <w:t>Questions</w:t>
      </w:r>
    </w:p>
    <w:p w14:paraId="56F09488" w14:textId="3C95C9D8" w:rsidR="00BC29D8" w:rsidRPr="008A5BD1" w:rsidRDefault="00BC29D8" w:rsidP="008F2BE0">
      <w:pPr>
        <w:spacing w:after="0"/>
        <w:rPr>
          <w:rStyle w:val="ui-provider"/>
          <w:rFonts w:cstheme="minorHAnsi"/>
          <w:b/>
          <w:bCs/>
        </w:rPr>
      </w:pPr>
      <w:r w:rsidRPr="008A5BD1">
        <w:rPr>
          <w:rStyle w:val="ui-provider"/>
          <w:rFonts w:cstheme="minorHAnsi"/>
          <w:b/>
          <w:bCs/>
        </w:rPr>
        <w:t>Please could you clarify if there is a word limit on question 3.2 “Project governance” in the application form?</w:t>
      </w:r>
    </w:p>
    <w:p w14:paraId="667F0576" w14:textId="4A5FF957" w:rsidR="00BC29D8" w:rsidRDefault="00BC29D8" w:rsidP="008F2BE0">
      <w:pPr>
        <w:spacing w:after="0"/>
        <w:rPr>
          <w:rStyle w:val="ui-provider"/>
          <w:rFonts w:cstheme="minorHAnsi"/>
        </w:rPr>
      </w:pPr>
      <w:r w:rsidRPr="008A5BD1">
        <w:rPr>
          <w:rStyle w:val="ui-provider"/>
          <w:rFonts w:cstheme="minorHAnsi"/>
        </w:rPr>
        <w:t>If no word limit is stated there is none.</w:t>
      </w:r>
      <w:r w:rsidR="001174C6">
        <w:rPr>
          <w:rStyle w:val="ui-provider"/>
          <w:rFonts w:cstheme="minorHAnsi"/>
        </w:rPr>
        <w:t xml:space="preserve"> However, we would encourage applicants to make this clear and easy to understand</w:t>
      </w:r>
      <w:r w:rsidR="009319F9">
        <w:rPr>
          <w:rStyle w:val="ui-provider"/>
          <w:rFonts w:cstheme="minorHAnsi"/>
        </w:rPr>
        <w:t xml:space="preserve"> and avoid any potential for ambiguity around governance arrangements. The use of </w:t>
      </w:r>
      <w:r w:rsidR="0092203F">
        <w:rPr>
          <w:rStyle w:val="ui-provider"/>
          <w:rFonts w:cstheme="minorHAnsi"/>
        </w:rPr>
        <w:t>org charts</w:t>
      </w:r>
      <w:r w:rsidR="009319F9">
        <w:rPr>
          <w:rStyle w:val="ui-provider"/>
          <w:rFonts w:cstheme="minorHAnsi"/>
        </w:rPr>
        <w:t xml:space="preserve">, tables and flowcharts </w:t>
      </w:r>
      <w:r w:rsidR="00185FF4">
        <w:rPr>
          <w:rStyle w:val="ui-provider"/>
          <w:rFonts w:cstheme="minorHAnsi"/>
        </w:rPr>
        <w:t>can</w:t>
      </w:r>
      <w:r w:rsidR="009319F9">
        <w:rPr>
          <w:rStyle w:val="ui-provider"/>
          <w:rFonts w:cstheme="minorHAnsi"/>
        </w:rPr>
        <w:t xml:space="preserve"> be useful here.</w:t>
      </w:r>
    </w:p>
    <w:p w14:paraId="2A1D4C2D" w14:textId="77777777" w:rsidR="008A5BD1" w:rsidRPr="008A5BD1" w:rsidRDefault="008A5BD1" w:rsidP="008F2BE0">
      <w:pPr>
        <w:spacing w:after="0"/>
        <w:rPr>
          <w:rStyle w:val="ui-provider"/>
          <w:rFonts w:cstheme="minorHAnsi"/>
        </w:rPr>
      </w:pPr>
    </w:p>
    <w:p w14:paraId="018E5330" w14:textId="0A477348" w:rsidR="007F28FF" w:rsidRPr="008A5BD1" w:rsidRDefault="00222F51" w:rsidP="008F2BE0">
      <w:pPr>
        <w:pStyle w:val="NormalWeb"/>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How will applications be scored?</w:t>
      </w:r>
      <w:r w:rsidR="008E6588">
        <w:rPr>
          <w:rFonts w:asciiTheme="minorHAnsi" w:hAnsiTheme="minorHAnsi" w:cstheme="minorHAnsi"/>
          <w:b/>
          <w:bCs/>
          <w:sz w:val="22"/>
          <w:szCs w:val="22"/>
        </w:rPr>
        <w:t xml:space="preserve"> Is there scoring criteria and are these weighted?</w:t>
      </w:r>
      <w:r>
        <w:rPr>
          <w:rFonts w:asciiTheme="minorHAnsi" w:hAnsiTheme="minorHAnsi" w:cstheme="minorHAnsi"/>
          <w:b/>
          <w:bCs/>
          <w:sz w:val="22"/>
          <w:szCs w:val="22"/>
        </w:rPr>
        <w:t xml:space="preserve"> </w:t>
      </w:r>
    </w:p>
    <w:p w14:paraId="4C1A120F" w14:textId="6EA8A084" w:rsidR="007F28FF" w:rsidRDefault="00487624" w:rsidP="008F2BE0">
      <w:pPr>
        <w:spacing w:after="0"/>
        <w:rPr>
          <w:rFonts w:cstheme="minorHAnsi"/>
        </w:rPr>
      </w:pPr>
      <w:r>
        <w:rPr>
          <w:rFonts w:cstheme="minorHAnsi"/>
        </w:rPr>
        <w:t xml:space="preserve"> </w:t>
      </w:r>
      <w:r w:rsidRPr="00487624">
        <w:rPr>
          <w:rFonts w:cstheme="minorHAnsi"/>
        </w:rPr>
        <w:t>As this is a call for projects and not a procurement, there is no eligibility or qualification criteria</w:t>
      </w:r>
      <w:r w:rsidR="00F679D9">
        <w:rPr>
          <w:rFonts w:cstheme="minorHAnsi"/>
        </w:rPr>
        <w:t xml:space="preserve">, </w:t>
      </w:r>
      <w:r w:rsidRPr="00487624">
        <w:rPr>
          <w:rFonts w:cstheme="minorHAnsi"/>
        </w:rPr>
        <w:t>but t</w:t>
      </w:r>
      <w:r w:rsidR="00222F51" w:rsidRPr="00487624">
        <w:rPr>
          <w:rFonts w:cstheme="minorHAnsi"/>
        </w:rPr>
        <w:t xml:space="preserve">here </w:t>
      </w:r>
      <w:r w:rsidR="00266C02">
        <w:rPr>
          <w:rFonts w:cstheme="minorHAnsi"/>
        </w:rPr>
        <w:t xml:space="preserve">are </w:t>
      </w:r>
      <w:r w:rsidR="00222F51" w:rsidRPr="00487624">
        <w:rPr>
          <w:rFonts w:cstheme="minorHAnsi"/>
        </w:rPr>
        <w:t>scoring criteria</w:t>
      </w:r>
      <w:r w:rsidR="008E6588" w:rsidRPr="00487624">
        <w:rPr>
          <w:rFonts w:cstheme="minorHAnsi"/>
        </w:rPr>
        <w:t xml:space="preserve"> and weightings </w:t>
      </w:r>
      <w:r w:rsidR="000D6539">
        <w:rPr>
          <w:rFonts w:cstheme="minorHAnsi"/>
        </w:rPr>
        <w:t>have been set</w:t>
      </w:r>
      <w:r w:rsidR="008E6588" w:rsidRPr="00487624">
        <w:rPr>
          <w:rFonts w:cstheme="minorHAnsi"/>
        </w:rPr>
        <w:t xml:space="preserve"> against </w:t>
      </w:r>
      <w:r w:rsidR="00266C02">
        <w:rPr>
          <w:rFonts w:cstheme="minorHAnsi"/>
        </w:rPr>
        <w:t>the</w:t>
      </w:r>
      <w:r w:rsidR="008E6588" w:rsidRPr="00487624">
        <w:rPr>
          <w:rFonts w:cstheme="minorHAnsi"/>
        </w:rPr>
        <w:t xml:space="preserve"> criteria</w:t>
      </w:r>
      <w:r w:rsidR="00222F51" w:rsidRPr="00487624">
        <w:rPr>
          <w:rFonts w:cstheme="minorHAnsi"/>
        </w:rPr>
        <w:t xml:space="preserve">. Information </w:t>
      </w:r>
      <w:r w:rsidR="00C53995" w:rsidRPr="00487624">
        <w:rPr>
          <w:rFonts w:cstheme="minorHAnsi"/>
        </w:rPr>
        <w:t xml:space="preserve">outlining </w:t>
      </w:r>
      <w:r w:rsidR="00222F51" w:rsidRPr="00487624">
        <w:rPr>
          <w:rFonts w:cstheme="minorHAnsi"/>
        </w:rPr>
        <w:t xml:space="preserve">the </w:t>
      </w:r>
      <w:r w:rsidR="00222F51" w:rsidRPr="00487624">
        <w:rPr>
          <w:rFonts w:cstheme="minorHAnsi"/>
        </w:rPr>
        <w:lastRenderedPageBreak/>
        <w:t>scoring criteria can be found in the Application Guidance document.</w:t>
      </w:r>
      <w:r w:rsidR="00C53995" w:rsidRPr="00487624">
        <w:rPr>
          <w:rFonts w:cstheme="minorHAnsi"/>
        </w:rPr>
        <w:t xml:space="preserve"> Further guidance on weightings against these criteria will not be released.</w:t>
      </w:r>
    </w:p>
    <w:p w14:paraId="3AA578A4" w14:textId="77777777" w:rsidR="00222F51" w:rsidRPr="008A5BD1" w:rsidRDefault="00222F51" w:rsidP="008F2BE0">
      <w:pPr>
        <w:spacing w:after="0"/>
        <w:rPr>
          <w:rFonts w:cstheme="minorHAnsi"/>
        </w:rPr>
      </w:pPr>
    </w:p>
    <w:p w14:paraId="655D360F" w14:textId="44C1156D" w:rsidR="00670020" w:rsidRPr="00D2725C" w:rsidRDefault="00D2725C" w:rsidP="008F2BE0">
      <w:pPr>
        <w:spacing w:after="0" w:line="240" w:lineRule="auto"/>
        <w:rPr>
          <w:rFonts w:eastAsia="Times New Roman" w:cstheme="minorHAnsi"/>
          <w:b/>
          <w:bCs/>
          <w:color w:val="000000"/>
          <w:lang w:eastAsia="en-GB"/>
        </w:rPr>
      </w:pPr>
      <w:r>
        <w:rPr>
          <w:rFonts w:eastAsia="Times New Roman" w:cstheme="minorHAnsi"/>
          <w:b/>
          <w:bCs/>
          <w:color w:val="000000"/>
          <w:lang w:eastAsia="en-GB"/>
        </w:rPr>
        <w:t>Can case studies and other supporting evidence be submitted in addition to the stated word counts?</w:t>
      </w:r>
    </w:p>
    <w:p w14:paraId="5FA4D48D" w14:textId="3BD480BB" w:rsidR="00670020" w:rsidRDefault="00670020" w:rsidP="008F2BE0">
      <w:pPr>
        <w:spacing w:after="0" w:line="240" w:lineRule="auto"/>
        <w:rPr>
          <w:rFonts w:eastAsia="Times New Roman" w:cstheme="minorHAnsi"/>
          <w:color w:val="000000"/>
          <w:lang w:eastAsia="en-GB"/>
        </w:rPr>
      </w:pPr>
      <w:r w:rsidRPr="00D2725C">
        <w:rPr>
          <w:rFonts w:eastAsia="Times New Roman" w:cstheme="minorHAnsi"/>
          <w:color w:val="000000"/>
          <w:lang w:eastAsia="en-GB"/>
        </w:rPr>
        <w:t xml:space="preserve">Yes, </w:t>
      </w:r>
      <w:r w:rsidR="00D2725C">
        <w:rPr>
          <w:rFonts w:eastAsia="Times New Roman" w:cstheme="minorHAnsi"/>
          <w:color w:val="000000"/>
          <w:lang w:eastAsia="en-GB"/>
        </w:rPr>
        <w:t>we accept supporting evidence in addition to the stated word counts.</w:t>
      </w:r>
    </w:p>
    <w:p w14:paraId="517B134B" w14:textId="77777777" w:rsidR="00670020" w:rsidRDefault="00670020" w:rsidP="008F2BE0">
      <w:pPr>
        <w:spacing w:after="0" w:line="240" w:lineRule="auto"/>
        <w:rPr>
          <w:rFonts w:eastAsia="Times New Roman" w:cstheme="minorHAnsi"/>
          <w:color w:val="000000"/>
          <w:lang w:eastAsia="en-GB"/>
        </w:rPr>
      </w:pPr>
    </w:p>
    <w:p w14:paraId="6E12177E" w14:textId="7489B96F" w:rsidR="009E334D" w:rsidRDefault="009E334D" w:rsidP="008F2BE0">
      <w:pPr>
        <w:spacing w:after="0" w:line="240" w:lineRule="auto"/>
        <w:rPr>
          <w:rFonts w:eastAsia="Times New Roman" w:cstheme="minorHAnsi"/>
          <w:b/>
          <w:bCs/>
          <w:color w:val="000000"/>
          <w:lang w:eastAsia="en-GB"/>
        </w:rPr>
      </w:pPr>
      <w:r>
        <w:rPr>
          <w:rFonts w:eastAsia="Times New Roman" w:cstheme="minorHAnsi"/>
          <w:b/>
          <w:bCs/>
          <w:color w:val="000000"/>
          <w:lang w:eastAsia="en-GB"/>
        </w:rPr>
        <w:t>Can supporting evidence be submitted for other questions?</w:t>
      </w:r>
    </w:p>
    <w:p w14:paraId="03111094" w14:textId="32FB9FC6" w:rsidR="009E334D" w:rsidRPr="009E334D" w:rsidRDefault="00776462" w:rsidP="008F2BE0">
      <w:pPr>
        <w:spacing w:after="0" w:line="240" w:lineRule="auto"/>
        <w:rPr>
          <w:rFonts w:eastAsia="Times New Roman" w:cstheme="minorHAnsi"/>
          <w:color w:val="000000"/>
          <w:lang w:eastAsia="en-GB"/>
        </w:rPr>
      </w:pPr>
      <w:r>
        <w:rPr>
          <w:rFonts w:eastAsia="Times New Roman" w:cstheme="minorHAnsi"/>
          <w:color w:val="000000"/>
          <w:lang w:eastAsia="en-GB"/>
        </w:rPr>
        <w:t>W</w:t>
      </w:r>
      <w:r w:rsidR="009E334D">
        <w:rPr>
          <w:rFonts w:eastAsia="Times New Roman" w:cstheme="minorHAnsi"/>
          <w:color w:val="000000"/>
          <w:lang w:eastAsia="en-GB"/>
        </w:rPr>
        <w:t>e are happy to accept supporting evidence</w:t>
      </w:r>
      <w:r>
        <w:rPr>
          <w:rFonts w:eastAsia="Times New Roman" w:cstheme="minorHAnsi"/>
          <w:color w:val="000000"/>
          <w:lang w:eastAsia="en-GB"/>
        </w:rPr>
        <w:t xml:space="preserve"> - please ensure it is concise, proportionate, </w:t>
      </w:r>
      <w:proofErr w:type="gramStart"/>
      <w:r>
        <w:rPr>
          <w:rFonts w:eastAsia="Times New Roman" w:cstheme="minorHAnsi"/>
          <w:color w:val="000000"/>
          <w:lang w:eastAsia="en-GB"/>
        </w:rPr>
        <w:t>relevant</w:t>
      </w:r>
      <w:proofErr w:type="gramEnd"/>
      <w:r>
        <w:rPr>
          <w:rFonts w:eastAsia="Times New Roman" w:cstheme="minorHAnsi"/>
          <w:color w:val="000000"/>
          <w:lang w:eastAsia="en-GB"/>
        </w:rPr>
        <w:t xml:space="preserve"> and necessary in support of your application,</w:t>
      </w:r>
    </w:p>
    <w:p w14:paraId="79854DBB" w14:textId="77777777" w:rsidR="00670020" w:rsidRPr="008F5C85" w:rsidRDefault="00670020" w:rsidP="008F2BE0">
      <w:pPr>
        <w:spacing w:after="0" w:line="240" w:lineRule="auto"/>
        <w:rPr>
          <w:rFonts w:eastAsia="Times New Roman" w:cstheme="minorHAnsi"/>
          <w:color w:val="000000"/>
          <w:lang w:eastAsia="en-GB"/>
        </w:rPr>
      </w:pPr>
    </w:p>
    <w:p w14:paraId="3B08148C" w14:textId="329F70EF" w:rsidR="00413CE2" w:rsidRPr="008F5C85" w:rsidRDefault="00413CE2" w:rsidP="008F2BE0">
      <w:pPr>
        <w:spacing w:after="0" w:line="240" w:lineRule="auto"/>
        <w:rPr>
          <w:rFonts w:eastAsia="Times New Roman" w:cstheme="minorHAnsi"/>
          <w:color w:val="000000"/>
          <w:lang w:eastAsia="en-GB"/>
        </w:rPr>
      </w:pPr>
      <w:r w:rsidRPr="00975891">
        <w:rPr>
          <w:rFonts w:eastAsia="Times New Roman" w:cstheme="minorHAnsi"/>
          <w:b/>
          <w:bCs/>
          <w:color w:val="000000"/>
          <w:lang w:eastAsia="en-GB"/>
        </w:rPr>
        <w:t xml:space="preserve">In the Guidance document under Deliverability, the evidence listed includes “a Resource Plan”.  However, there is no reference to this in the application form.  Does LCRCA require such a plan to be submitted with the application?  If so, what is meant by this </w:t>
      </w:r>
      <w:r w:rsidR="002A6470">
        <w:rPr>
          <w:rFonts w:eastAsia="Times New Roman" w:cstheme="minorHAnsi"/>
          <w:b/>
          <w:bCs/>
          <w:color w:val="000000"/>
          <w:lang w:eastAsia="en-GB"/>
        </w:rPr>
        <w:t>and</w:t>
      </w:r>
      <w:r w:rsidRPr="00975891">
        <w:rPr>
          <w:rFonts w:eastAsia="Times New Roman" w:cstheme="minorHAnsi"/>
          <w:b/>
          <w:bCs/>
          <w:color w:val="000000"/>
          <w:lang w:eastAsia="en-GB"/>
        </w:rPr>
        <w:t xml:space="preserve"> what do you expect the plan to cover?</w:t>
      </w:r>
    </w:p>
    <w:p w14:paraId="39C8A865" w14:textId="4D7F7DE8" w:rsidR="00413CE2" w:rsidRPr="00975891" w:rsidRDefault="00413CE2" w:rsidP="008F2BE0">
      <w:pPr>
        <w:spacing w:after="0" w:line="240" w:lineRule="auto"/>
        <w:rPr>
          <w:rFonts w:eastAsia="Times New Roman" w:cstheme="minorHAnsi"/>
          <w:color w:val="000000"/>
          <w:lang w:eastAsia="en-GB"/>
        </w:rPr>
      </w:pPr>
      <w:r w:rsidRPr="00975891">
        <w:rPr>
          <w:rFonts w:eastAsia="Times New Roman" w:cstheme="minorHAnsi"/>
          <w:color w:val="000000"/>
          <w:lang w:eastAsia="en-GB"/>
        </w:rPr>
        <w:t>The application form is to elicit your proposed project, how it will be delivered, its impact etc. and the suggested and requested evidence is to back up and lend support to what you’ve put in the application form. In this case, the resource plan is to help us understand what resources are required for you to deliver the project - so a simple plan that is relevant &amp; proportionate, that clarifies resources (e.g. people and materials) assigned to deliver is what we would expect from applicants.</w:t>
      </w:r>
    </w:p>
    <w:p w14:paraId="61F10940" w14:textId="77777777" w:rsidR="00413CE2" w:rsidRPr="008F5C85" w:rsidRDefault="00413CE2" w:rsidP="008F2BE0">
      <w:pPr>
        <w:pStyle w:val="ListParagraph"/>
        <w:spacing w:after="0"/>
        <w:ind w:left="0"/>
        <w:rPr>
          <w:rFonts w:eastAsia="Times New Roman" w:cstheme="minorHAnsi"/>
          <w:b/>
          <w:bCs/>
          <w:color w:val="000000"/>
          <w:lang w:eastAsia="en-GB"/>
        </w:rPr>
      </w:pPr>
    </w:p>
    <w:p w14:paraId="593592C4" w14:textId="6B227446" w:rsidR="00413CE2" w:rsidRPr="00DC5ED3" w:rsidRDefault="00413CE2" w:rsidP="008F2BE0">
      <w:pPr>
        <w:spacing w:after="0" w:line="240" w:lineRule="auto"/>
        <w:rPr>
          <w:rFonts w:eastAsia="Times New Roman" w:cstheme="minorHAnsi"/>
          <w:b/>
          <w:bCs/>
          <w:color w:val="000000"/>
          <w:lang w:eastAsia="en-GB"/>
        </w:rPr>
      </w:pPr>
      <w:r w:rsidRPr="00DC5ED3">
        <w:rPr>
          <w:rFonts w:eastAsia="Times New Roman" w:cstheme="minorHAnsi"/>
          <w:b/>
          <w:bCs/>
          <w:color w:val="000000"/>
          <w:lang w:eastAsia="en-GB"/>
        </w:rPr>
        <w:t>In Section 7 of the application form, there is a requirement to respon</w:t>
      </w:r>
      <w:r w:rsidR="00CB6326">
        <w:rPr>
          <w:rFonts w:eastAsia="Times New Roman" w:cstheme="minorHAnsi"/>
          <w:b/>
          <w:bCs/>
          <w:color w:val="000000"/>
          <w:lang w:eastAsia="en-GB"/>
        </w:rPr>
        <w:t>d</w:t>
      </w:r>
      <w:r w:rsidRPr="00DC5ED3">
        <w:rPr>
          <w:rFonts w:eastAsia="Times New Roman" w:cstheme="minorHAnsi"/>
          <w:b/>
          <w:bCs/>
          <w:color w:val="000000"/>
          <w:lang w:eastAsia="en-GB"/>
        </w:rPr>
        <w:t xml:space="preserve"> with up to 500 words per bullet point. </w:t>
      </w:r>
      <w:r w:rsidR="00657981">
        <w:rPr>
          <w:rFonts w:eastAsia="Times New Roman" w:cstheme="minorHAnsi"/>
          <w:b/>
          <w:bCs/>
          <w:color w:val="000000"/>
          <w:lang w:eastAsia="en-GB"/>
        </w:rPr>
        <w:t>Where supporting evidence is requested,</w:t>
      </w:r>
      <w:r w:rsidR="00045CA9">
        <w:rPr>
          <w:rFonts w:eastAsia="Times New Roman" w:cstheme="minorHAnsi"/>
          <w:b/>
          <w:bCs/>
          <w:color w:val="000000"/>
          <w:lang w:eastAsia="en-GB"/>
        </w:rPr>
        <w:t xml:space="preserve"> do LCRCA require narrative within the application form in addition?</w:t>
      </w:r>
      <w:r w:rsidR="00AD678C">
        <w:rPr>
          <w:rFonts w:eastAsia="Times New Roman" w:cstheme="minorHAnsi"/>
          <w:b/>
          <w:bCs/>
          <w:color w:val="000000"/>
          <w:lang w:eastAsia="en-GB"/>
        </w:rPr>
        <w:t xml:space="preserve"> For example, where an Equality Impact Assessment is required, do LCRCA require up to 500 words </w:t>
      </w:r>
      <w:r w:rsidR="00DC5ED3">
        <w:rPr>
          <w:rFonts w:eastAsia="Times New Roman" w:cstheme="minorHAnsi"/>
          <w:b/>
          <w:bCs/>
          <w:color w:val="000000"/>
          <w:lang w:eastAsia="en-GB"/>
        </w:rPr>
        <w:t>on commitment to Equality, Diversity and Inclusion or is the EIA sufficient?</w:t>
      </w:r>
    </w:p>
    <w:p w14:paraId="774C4F07" w14:textId="584D9EA2" w:rsidR="00413CE2" w:rsidRPr="00DC5ED3" w:rsidRDefault="00045CA9" w:rsidP="008F2BE0">
      <w:pPr>
        <w:spacing w:after="0" w:line="240" w:lineRule="auto"/>
        <w:rPr>
          <w:rFonts w:eastAsia="Times New Roman" w:cstheme="minorHAnsi"/>
          <w:color w:val="000000"/>
          <w:lang w:eastAsia="en-GB"/>
        </w:rPr>
      </w:pPr>
      <w:r>
        <w:rPr>
          <w:rFonts w:eastAsia="Times New Roman" w:cstheme="minorHAnsi"/>
          <w:color w:val="000000"/>
          <w:lang w:eastAsia="en-GB"/>
        </w:rPr>
        <w:t>W</w:t>
      </w:r>
      <w:r w:rsidR="00413CE2" w:rsidRPr="00DC5ED3">
        <w:rPr>
          <w:rFonts w:eastAsia="Times New Roman" w:cstheme="minorHAnsi"/>
          <w:color w:val="000000"/>
          <w:lang w:eastAsia="en-GB"/>
        </w:rPr>
        <w:t>e would encourage all applicants to fill out all sections of the application form and submit the suggested evidence in support of that. Incomplete answers or missing evidence may result in lower scores.</w:t>
      </w:r>
    </w:p>
    <w:p w14:paraId="4580B9FA" w14:textId="77777777" w:rsidR="00413CE2" w:rsidRPr="008F5C85" w:rsidRDefault="00413CE2" w:rsidP="008F2BE0">
      <w:pPr>
        <w:pStyle w:val="ListParagraph"/>
        <w:spacing w:after="0"/>
        <w:ind w:left="0"/>
        <w:rPr>
          <w:rFonts w:eastAsia="Times New Roman" w:cstheme="minorHAnsi"/>
          <w:color w:val="000000"/>
          <w:lang w:eastAsia="en-GB"/>
        </w:rPr>
      </w:pPr>
    </w:p>
    <w:p w14:paraId="766B7E2A" w14:textId="119AAB69" w:rsidR="00413CE2" w:rsidRPr="00DC5ED3" w:rsidRDefault="00413CE2" w:rsidP="008F2BE0">
      <w:pPr>
        <w:spacing w:after="0" w:line="240" w:lineRule="auto"/>
        <w:rPr>
          <w:rFonts w:eastAsia="Times New Roman" w:cstheme="minorHAnsi"/>
          <w:b/>
          <w:bCs/>
          <w:color w:val="000000"/>
          <w:lang w:eastAsia="en-GB"/>
        </w:rPr>
      </w:pPr>
      <w:r w:rsidRPr="00DC5ED3">
        <w:rPr>
          <w:rFonts w:eastAsia="Times New Roman" w:cstheme="minorHAnsi"/>
          <w:b/>
          <w:bCs/>
          <w:color w:val="000000"/>
          <w:lang w:eastAsia="en-GB"/>
        </w:rPr>
        <w:t>In Section 8 of the application form, the table has a section for longer term Impact.  The form points to the guidance, which only references outputs and outcomes.  Therefore, are bidders required to complete the Impact section on the form, and – if so - is there any guidance for this?</w:t>
      </w:r>
    </w:p>
    <w:p w14:paraId="2483E6A7" w14:textId="340C04DA" w:rsidR="00413CE2" w:rsidRPr="00DC5ED3" w:rsidRDefault="00413CE2" w:rsidP="008F2BE0">
      <w:pPr>
        <w:spacing w:after="0" w:line="240" w:lineRule="auto"/>
        <w:rPr>
          <w:rFonts w:eastAsia="Times New Roman" w:cstheme="minorHAnsi"/>
          <w:color w:val="000000"/>
          <w:lang w:eastAsia="en-GB"/>
        </w:rPr>
      </w:pPr>
      <w:r w:rsidRPr="00DC5ED3">
        <w:rPr>
          <w:rFonts w:eastAsia="Times New Roman" w:cstheme="minorHAnsi"/>
          <w:color w:val="000000"/>
          <w:lang w:eastAsia="en-GB"/>
        </w:rPr>
        <w:t>Everything funded by LCRCA under UKSPF is designed to maximise local impact and we would expect applicants to be able to link the outputs and outcomes they can deliver with expected impact.</w:t>
      </w:r>
    </w:p>
    <w:p w14:paraId="16700EE6" w14:textId="77777777" w:rsidR="00621EE6" w:rsidRPr="00DC5ED3" w:rsidRDefault="00621EE6" w:rsidP="008F2BE0">
      <w:pPr>
        <w:spacing w:after="0"/>
      </w:pPr>
    </w:p>
    <w:p w14:paraId="038A6210" w14:textId="168591E6" w:rsidR="00182B48" w:rsidRPr="0011571C" w:rsidRDefault="00182B48" w:rsidP="008F2BE0">
      <w:pPr>
        <w:spacing w:after="0"/>
        <w:rPr>
          <w:rFonts w:eastAsia="Times New Roman" w:cstheme="minorHAnsi"/>
          <w:b/>
          <w:bCs/>
          <w:color w:val="000000"/>
          <w:lang w:eastAsia="en-GB"/>
        </w:rPr>
      </w:pPr>
      <w:r w:rsidRPr="0011571C">
        <w:rPr>
          <w:rFonts w:eastAsia="Times New Roman" w:cstheme="minorHAnsi"/>
          <w:b/>
          <w:bCs/>
          <w:color w:val="000000"/>
          <w:lang w:eastAsia="en-GB"/>
        </w:rPr>
        <w:t>Can you please tell me where we can find the main UKSPF Terms and Conditions referred to in clause 2 of the LCR Terms &amp; Conditions in appendix 3?</w:t>
      </w:r>
    </w:p>
    <w:p w14:paraId="6EE0BF59" w14:textId="28D4A306" w:rsidR="00182B48" w:rsidRPr="0011571C" w:rsidRDefault="00182B48" w:rsidP="008F2BE0">
      <w:pPr>
        <w:spacing w:after="0" w:line="240" w:lineRule="auto"/>
        <w:rPr>
          <w:rFonts w:eastAsia="Times New Roman" w:cstheme="minorHAnsi"/>
          <w:color w:val="000000"/>
          <w:lang w:eastAsia="en-GB"/>
        </w:rPr>
      </w:pPr>
      <w:r w:rsidRPr="0011571C">
        <w:rPr>
          <w:rFonts w:eastAsia="Times New Roman" w:cstheme="minorHAnsi"/>
          <w:color w:val="000000"/>
          <w:lang w:eastAsia="en-GB"/>
        </w:rPr>
        <w:t xml:space="preserve">These are </w:t>
      </w:r>
      <w:r w:rsidR="00C2518F">
        <w:rPr>
          <w:rFonts w:eastAsia="Times New Roman" w:cstheme="minorHAnsi"/>
          <w:color w:val="000000"/>
          <w:lang w:eastAsia="en-GB"/>
        </w:rPr>
        <w:t>the LCR Terms &amp; Conditions</w:t>
      </w:r>
      <w:r w:rsidRPr="0011571C">
        <w:rPr>
          <w:rFonts w:eastAsia="Times New Roman" w:cstheme="minorHAnsi"/>
          <w:color w:val="000000"/>
          <w:lang w:eastAsia="en-GB"/>
        </w:rPr>
        <w:t xml:space="preserve"> together the with M</w:t>
      </w:r>
      <w:r w:rsidR="008D3717">
        <w:rPr>
          <w:rFonts w:eastAsia="Times New Roman" w:cstheme="minorHAnsi"/>
          <w:color w:val="000000"/>
          <w:lang w:eastAsia="en-GB"/>
        </w:rPr>
        <w:t xml:space="preserve">emorandum </w:t>
      </w:r>
      <w:r w:rsidRPr="0011571C">
        <w:rPr>
          <w:rFonts w:eastAsia="Times New Roman" w:cstheme="minorHAnsi"/>
          <w:color w:val="000000"/>
          <w:lang w:eastAsia="en-GB"/>
        </w:rPr>
        <w:t>o</w:t>
      </w:r>
      <w:r w:rsidR="008D3717">
        <w:rPr>
          <w:rFonts w:eastAsia="Times New Roman" w:cstheme="minorHAnsi"/>
          <w:color w:val="000000"/>
          <w:lang w:eastAsia="en-GB"/>
        </w:rPr>
        <w:t xml:space="preserve">f </w:t>
      </w:r>
      <w:r w:rsidRPr="0011571C">
        <w:rPr>
          <w:rFonts w:eastAsia="Times New Roman" w:cstheme="minorHAnsi"/>
          <w:color w:val="000000"/>
          <w:lang w:eastAsia="en-GB"/>
        </w:rPr>
        <w:t>U</w:t>
      </w:r>
      <w:r w:rsidR="008D3717">
        <w:rPr>
          <w:rFonts w:eastAsia="Times New Roman" w:cstheme="minorHAnsi"/>
          <w:color w:val="000000"/>
          <w:lang w:eastAsia="en-GB"/>
        </w:rPr>
        <w:t>nderstanding</w:t>
      </w:r>
      <w:r w:rsidRPr="0011571C">
        <w:rPr>
          <w:rFonts w:eastAsia="Times New Roman" w:cstheme="minorHAnsi"/>
          <w:color w:val="000000"/>
          <w:lang w:eastAsia="en-GB"/>
        </w:rPr>
        <w:t xml:space="preserve"> (Appendix 2 of the Terms and Conditions doc)</w:t>
      </w:r>
    </w:p>
    <w:p w14:paraId="654982D0" w14:textId="77777777" w:rsidR="0048627C" w:rsidRDefault="0048627C" w:rsidP="008F2BE0">
      <w:pPr>
        <w:spacing w:after="0" w:line="240" w:lineRule="auto"/>
        <w:rPr>
          <w:rFonts w:eastAsia="Times New Roman" w:cstheme="minorHAnsi"/>
          <w:b/>
          <w:bCs/>
          <w:color w:val="000000"/>
          <w:lang w:eastAsia="en-GB"/>
        </w:rPr>
      </w:pPr>
    </w:p>
    <w:p w14:paraId="336E2183" w14:textId="114DD3B8" w:rsidR="0048627C" w:rsidRPr="004A08D1" w:rsidRDefault="0048627C" w:rsidP="008F2BE0">
      <w:pPr>
        <w:spacing w:after="0"/>
        <w:rPr>
          <w:rFonts w:eastAsia="Times New Roman" w:cstheme="minorHAnsi"/>
          <w:b/>
          <w:bCs/>
          <w:color w:val="000000"/>
          <w:lang w:eastAsia="en-GB"/>
        </w:rPr>
      </w:pPr>
      <w:r w:rsidRPr="004A08D1">
        <w:rPr>
          <w:rFonts w:eastAsia="Times New Roman" w:cstheme="minorHAnsi"/>
          <w:b/>
          <w:bCs/>
          <w:color w:val="000000"/>
          <w:lang w:eastAsia="en-GB"/>
        </w:rPr>
        <w:t xml:space="preserve">Can the Authority clarify if there are any eligibility criteria to be applied to potential bidders? </w:t>
      </w:r>
    </w:p>
    <w:p w14:paraId="23085F8E" w14:textId="3248696C" w:rsidR="0048627C" w:rsidRPr="004A08D1" w:rsidRDefault="0048627C" w:rsidP="008F2BE0">
      <w:pPr>
        <w:spacing w:after="0"/>
        <w:rPr>
          <w:rFonts w:eastAsia="Times New Roman" w:cstheme="minorHAnsi"/>
          <w:color w:val="000000"/>
          <w:lang w:eastAsia="en-GB"/>
        </w:rPr>
      </w:pPr>
      <w:r w:rsidRPr="004A08D1">
        <w:rPr>
          <w:rFonts w:eastAsia="Times New Roman" w:cstheme="minorHAnsi"/>
          <w:color w:val="000000"/>
          <w:lang w:eastAsia="en-GB"/>
        </w:rPr>
        <w:t xml:space="preserve">As this is a call for projects and not a procurement, there is no eligibility </w:t>
      </w:r>
      <w:r w:rsidR="00A05F26" w:rsidRPr="004A08D1">
        <w:rPr>
          <w:rFonts w:eastAsia="Times New Roman" w:cstheme="minorHAnsi"/>
          <w:color w:val="000000"/>
          <w:lang w:eastAsia="en-GB"/>
        </w:rPr>
        <w:t>criteria,</w:t>
      </w:r>
      <w:r w:rsidRPr="004A08D1">
        <w:rPr>
          <w:rFonts w:eastAsia="Times New Roman" w:cstheme="minorHAnsi"/>
          <w:color w:val="000000"/>
          <w:lang w:eastAsia="en-GB"/>
        </w:rPr>
        <w:t xml:space="preserve"> but applicants will need to ensure their project meets the brief and that they are able to deliver LCR-wide within the delivery window. Additionally, due diligence will be undertaken on all successful bidders prior to contract commencement.</w:t>
      </w:r>
    </w:p>
    <w:p w14:paraId="1A37579F" w14:textId="77777777" w:rsidR="00182B48" w:rsidRDefault="00182B48" w:rsidP="008F2BE0">
      <w:pPr>
        <w:spacing w:after="0"/>
      </w:pPr>
    </w:p>
    <w:p w14:paraId="75BDB0B6" w14:textId="3CECE9D0" w:rsidR="00514F18" w:rsidRDefault="00514F18" w:rsidP="008F2BE0">
      <w:pPr>
        <w:pStyle w:val="Heading1"/>
        <w:spacing w:before="0"/>
      </w:pPr>
      <w:r>
        <w:t>Collaboration and Partnership Working</w:t>
      </w:r>
    </w:p>
    <w:p w14:paraId="6FB0647A" w14:textId="77777777" w:rsidR="003F5C55" w:rsidRDefault="003F5C55" w:rsidP="008F2BE0">
      <w:pPr>
        <w:spacing w:after="0"/>
      </w:pPr>
      <w:r w:rsidRPr="001E5917">
        <w:rPr>
          <w:b/>
          <w:bCs/>
        </w:rPr>
        <w:t>Are bids from consortia welcomed?</w:t>
      </w:r>
    </w:p>
    <w:p w14:paraId="5D0B9D92" w14:textId="77777777" w:rsidR="003F5C55" w:rsidRDefault="003F5C55" w:rsidP="008F2BE0">
      <w:pPr>
        <w:spacing w:after="0"/>
      </w:pPr>
      <w:r>
        <w:lastRenderedPageBreak/>
        <w:t>Bids from consortia are welcomed and where consortia are formed, we would expect a lead organisation to act on behalf of the consortium.</w:t>
      </w:r>
    </w:p>
    <w:p w14:paraId="7AEC1752" w14:textId="77777777" w:rsidR="007C2F7F" w:rsidRDefault="007C2F7F" w:rsidP="008F2BE0">
      <w:pPr>
        <w:spacing w:after="0"/>
      </w:pPr>
    </w:p>
    <w:p w14:paraId="5603D84D" w14:textId="77777777" w:rsidR="003F5C55" w:rsidRPr="004B2FCD" w:rsidRDefault="003F5C55" w:rsidP="008F2BE0">
      <w:pPr>
        <w:spacing w:after="0"/>
      </w:pPr>
      <w:r w:rsidRPr="001E5917">
        <w:rPr>
          <w:b/>
          <w:bCs/>
        </w:rPr>
        <w:t>Will delivery against this funding duplicate any provision currently in place?</w:t>
      </w:r>
    </w:p>
    <w:p w14:paraId="6C8DE181" w14:textId="15794D5F" w:rsidR="003F5C55" w:rsidRDefault="003F5C55" w:rsidP="008F2BE0">
      <w:pPr>
        <w:spacing w:after="0"/>
      </w:pPr>
      <w:r>
        <w:t>Consideration of alignment with other city region wide programmes should be demonstrated. All bids must outline how they will provide additionality to existing services including the Ways to Work and Households into Work Programmes</w:t>
      </w:r>
      <w:r w:rsidR="008D5DAE">
        <w:t xml:space="preserve"> and Job Centre Plus provision</w:t>
      </w:r>
      <w:r>
        <w:t xml:space="preserve">.  </w:t>
      </w:r>
    </w:p>
    <w:p w14:paraId="01AB0E49" w14:textId="4CF57FF3" w:rsidR="00C156A1" w:rsidRDefault="003F5C55" w:rsidP="008F2BE0">
      <w:pPr>
        <w:spacing w:after="0"/>
      </w:pPr>
      <w:r>
        <w:t>Regarding participants of programmes – they can be registered with more than one project, but only is there is no duplication in the type of support the participant is receiving from each project.</w:t>
      </w:r>
    </w:p>
    <w:p w14:paraId="4BB4B6AB" w14:textId="77777777" w:rsidR="00C156A1" w:rsidRPr="00C156A1" w:rsidRDefault="00C156A1" w:rsidP="008F2BE0">
      <w:pPr>
        <w:spacing w:after="0"/>
      </w:pPr>
    </w:p>
    <w:p w14:paraId="4EBC2F30" w14:textId="77777777" w:rsidR="003F5C55" w:rsidRPr="004B2FCD" w:rsidRDefault="003F5C55" w:rsidP="008F2BE0">
      <w:pPr>
        <w:spacing w:after="0"/>
      </w:pPr>
      <w:r w:rsidRPr="00460434">
        <w:rPr>
          <w:b/>
          <w:bCs/>
        </w:rPr>
        <w:t>How will the successful projects connect to the wider employment and skills landscape?</w:t>
      </w:r>
    </w:p>
    <w:p w14:paraId="246B35F5" w14:textId="65A6ED7C" w:rsidR="003F5C55" w:rsidRDefault="003F5C55" w:rsidP="008F2BE0">
      <w:pPr>
        <w:spacing w:after="0"/>
      </w:pPr>
      <w:r>
        <w:t>All bids must outline how delivery will engage with other employment and skills services</w:t>
      </w:r>
      <w:r w:rsidR="00C156A1">
        <w:t xml:space="preserve"> </w:t>
      </w:r>
      <w:r>
        <w:t xml:space="preserve">and demonstrate how effective working relationships will be developed and managed with other providers offering employment and skills support. </w:t>
      </w:r>
      <w:r w:rsidR="00582F5E">
        <w:t>We are also exploring the best way to link projects in this space up and will outline how this will be done before delivery begins.</w:t>
      </w:r>
    </w:p>
    <w:p w14:paraId="3E0E6DCF" w14:textId="393F7547" w:rsidR="00577692" w:rsidRPr="00A02BD6" w:rsidRDefault="00577692" w:rsidP="008F2BE0">
      <w:pPr>
        <w:spacing w:after="0"/>
        <w:rPr>
          <w:rStyle w:val="ui-provider"/>
          <w:rFonts w:cstheme="minorHAnsi"/>
        </w:rPr>
      </w:pPr>
      <w:r w:rsidRPr="00A02BD6">
        <w:rPr>
          <w:rStyle w:val="ui-provider"/>
          <w:rFonts w:cstheme="minorHAnsi"/>
        </w:rPr>
        <w:t>We would expect projects to work in collaboration with existing provision, so the ecosystem is compl</w:t>
      </w:r>
      <w:r w:rsidR="00C7393B">
        <w:rPr>
          <w:rStyle w:val="ui-provider"/>
          <w:rFonts w:cstheme="minorHAnsi"/>
        </w:rPr>
        <w:t>e</w:t>
      </w:r>
      <w:r w:rsidRPr="00A02BD6">
        <w:rPr>
          <w:rStyle w:val="ui-provider"/>
          <w:rFonts w:cstheme="minorHAnsi"/>
        </w:rPr>
        <w:t>mentary. This may include speaking with participants to understand what support they are already receiving, to ensure there is no duplication of provision.</w:t>
      </w:r>
    </w:p>
    <w:p w14:paraId="4A9773D8" w14:textId="77777777" w:rsidR="00577692" w:rsidRPr="00A02BD6" w:rsidRDefault="00577692" w:rsidP="008F2BE0">
      <w:pPr>
        <w:spacing w:after="0"/>
        <w:rPr>
          <w:rStyle w:val="ui-provider"/>
          <w:rFonts w:cstheme="minorHAnsi"/>
        </w:rPr>
      </w:pPr>
      <w:r w:rsidRPr="00A02BD6">
        <w:rPr>
          <w:rStyle w:val="ui-provider"/>
          <w:rFonts w:cstheme="minorHAnsi"/>
        </w:rPr>
        <w:t>However, if your project is delivering something different that can’t be delivered by the mainstream provision, that is additionality and would be welcomed.</w:t>
      </w:r>
    </w:p>
    <w:p w14:paraId="5573706E" w14:textId="0F52C072" w:rsidR="00194D20" w:rsidRPr="008F5C85" w:rsidRDefault="00194D20" w:rsidP="008F2BE0">
      <w:pPr>
        <w:spacing w:after="0"/>
        <w:rPr>
          <w:rStyle w:val="ui-provider"/>
          <w:rFonts w:cstheme="minorHAnsi"/>
        </w:rPr>
      </w:pPr>
    </w:p>
    <w:p w14:paraId="2FCC5659" w14:textId="5F9759B2" w:rsidR="00850700" w:rsidRPr="00577692" w:rsidRDefault="008442FF" w:rsidP="008F2BE0">
      <w:pPr>
        <w:spacing w:after="0"/>
        <w:rPr>
          <w:rFonts w:cstheme="minorHAnsi"/>
          <w:b/>
          <w:bCs/>
        </w:rPr>
      </w:pPr>
      <w:r>
        <w:rPr>
          <w:rFonts w:cstheme="minorHAnsi"/>
          <w:b/>
          <w:bCs/>
        </w:rPr>
        <w:t>Can organisations form part of more than one bid</w:t>
      </w:r>
      <w:r w:rsidR="00850700" w:rsidRPr="00577692">
        <w:rPr>
          <w:rFonts w:cstheme="minorHAnsi"/>
          <w:b/>
          <w:bCs/>
        </w:rPr>
        <w:t xml:space="preserve">? </w:t>
      </w:r>
    </w:p>
    <w:p w14:paraId="4D19549F" w14:textId="50E3794A" w:rsidR="00850700" w:rsidRPr="00577692" w:rsidRDefault="00850700" w:rsidP="008F2BE0">
      <w:pPr>
        <w:spacing w:after="0"/>
        <w:rPr>
          <w:rFonts w:cstheme="minorHAnsi"/>
        </w:rPr>
      </w:pPr>
      <w:r w:rsidRPr="00577692">
        <w:rPr>
          <w:rFonts w:cstheme="minorHAnsi"/>
        </w:rPr>
        <w:t>There is no</w:t>
      </w:r>
      <w:r w:rsidR="00FD0333">
        <w:rPr>
          <w:rFonts w:cstheme="minorHAnsi"/>
        </w:rPr>
        <w:t>thing to prohibit organisations working across</w:t>
      </w:r>
      <w:r w:rsidRPr="00577692">
        <w:rPr>
          <w:rFonts w:cstheme="minorHAnsi"/>
        </w:rPr>
        <w:t xml:space="preserve"> multiple bids, but </w:t>
      </w:r>
      <w:r w:rsidR="00FD0333">
        <w:rPr>
          <w:rFonts w:cstheme="minorHAnsi"/>
        </w:rPr>
        <w:t>LCRCA</w:t>
      </w:r>
      <w:r w:rsidRPr="00577692">
        <w:rPr>
          <w:rFonts w:cstheme="minorHAnsi"/>
        </w:rPr>
        <w:t xml:space="preserve"> would need to check that organisations have the capacity and capability to deliver across these multiple bids and acknowledge this within the application. </w:t>
      </w:r>
    </w:p>
    <w:p w14:paraId="5FD02BC1" w14:textId="77777777" w:rsidR="00850700" w:rsidRDefault="00850700" w:rsidP="008F2BE0">
      <w:pPr>
        <w:spacing w:after="0"/>
        <w:rPr>
          <w:rFonts w:cstheme="minorHAnsi"/>
        </w:rPr>
      </w:pPr>
      <w:r w:rsidRPr="00577692">
        <w:rPr>
          <w:rFonts w:cstheme="minorHAnsi"/>
        </w:rPr>
        <w:t>Initial evaluation of bids will not look at the organisations involved, as each bid will be assessed on its own individual merits. Once we have reached the stage where we could be awarding 2 or more bids where one organisation is involved, we will check that there is sufficient capacity to deliver the bids.</w:t>
      </w:r>
    </w:p>
    <w:p w14:paraId="6A086166" w14:textId="6ECA2A51" w:rsidR="008442FF" w:rsidRPr="008F5C85" w:rsidRDefault="008442FF" w:rsidP="008F2BE0">
      <w:pPr>
        <w:spacing w:after="0" w:line="240" w:lineRule="auto"/>
        <w:rPr>
          <w:rFonts w:eastAsia="Times New Roman"/>
          <w:color w:val="000000"/>
          <w:lang w:eastAsia="en-GB"/>
        </w:rPr>
      </w:pPr>
    </w:p>
    <w:p w14:paraId="1F9E8FA6" w14:textId="089A7E92" w:rsidR="008A2ABB" w:rsidRPr="00D22D7B" w:rsidRDefault="00622149" w:rsidP="008F2BE0">
      <w:pPr>
        <w:spacing w:after="0"/>
        <w:rPr>
          <w:rStyle w:val="ui-provider"/>
          <w:rFonts w:cstheme="minorHAnsi"/>
          <w:b/>
          <w:bCs/>
        </w:rPr>
      </w:pPr>
      <w:r>
        <w:rPr>
          <w:rStyle w:val="ui-provider"/>
          <w:rFonts w:cstheme="minorHAnsi"/>
          <w:b/>
          <w:bCs/>
        </w:rPr>
        <w:t>Is there a</w:t>
      </w:r>
      <w:r w:rsidR="008A2ABB" w:rsidRPr="00D22D7B">
        <w:rPr>
          <w:rStyle w:val="ui-provider"/>
          <w:rFonts w:cstheme="minorHAnsi"/>
          <w:b/>
          <w:bCs/>
        </w:rPr>
        <w:t xml:space="preserve"> minimum </w:t>
      </w:r>
      <w:r>
        <w:rPr>
          <w:rStyle w:val="ui-provider"/>
          <w:rFonts w:cstheme="minorHAnsi"/>
          <w:b/>
          <w:bCs/>
        </w:rPr>
        <w:t xml:space="preserve">proportion </w:t>
      </w:r>
      <w:r w:rsidR="008A2ABB" w:rsidRPr="00D22D7B">
        <w:rPr>
          <w:rStyle w:val="ui-provider"/>
          <w:rFonts w:cstheme="minorHAnsi"/>
          <w:b/>
          <w:bCs/>
        </w:rPr>
        <w:t xml:space="preserve">of direct delivery expected </w:t>
      </w:r>
      <w:r>
        <w:rPr>
          <w:rStyle w:val="ui-provider"/>
          <w:rFonts w:cstheme="minorHAnsi"/>
          <w:b/>
          <w:bCs/>
        </w:rPr>
        <w:t>from a lead applicant</w:t>
      </w:r>
      <w:r w:rsidR="008A2ABB" w:rsidRPr="00D22D7B">
        <w:rPr>
          <w:rStyle w:val="ui-provider"/>
          <w:rFonts w:cstheme="minorHAnsi"/>
          <w:b/>
          <w:bCs/>
        </w:rPr>
        <w:t>?</w:t>
      </w:r>
    </w:p>
    <w:p w14:paraId="2C2C3362" w14:textId="7789CFF8" w:rsidR="008F2BE0" w:rsidRDefault="008A2ABB" w:rsidP="008F2BE0">
      <w:pPr>
        <w:spacing w:after="0" w:line="240" w:lineRule="auto"/>
        <w:rPr>
          <w:rFonts w:cstheme="minorHAnsi"/>
        </w:rPr>
      </w:pPr>
      <w:r w:rsidRPr="003856F1">
        <w:rPr>
          <w:rFonts w:cstheme="minorHAnsi"/>
        </w:rPr>
        <w:t xml:space="preserve">Whilst we have no specific proportion of direct delivery expected by lead applicants, </w:t>
      </w:r>
      <w:r w:rsidR="00A05F26" w:rsidRPr="003856F1">
        <w:rPr>
          <w:rFonts w:cstheme="minorHAnsi"/>
        </w:rPr>
        <w:t>LCRCA would</w:t>
      </w:r>
      <w:r w:rsidR="008F2BE0">
        <w:rPr>
          <w:rFonts w:cstheme="minorHAnsi"/>
        </w:rPr>
        <w:t xml:space="preserve"> </w:t>
      </w:r>
      <w:r w:rsidR="0068713A">
        <w:rPr>
          <w:rFonts w:cstheme="minorHAnsi"/>
        </w:rPr>
        <w:t xml:space="preserve">generally expect that if you were the lead applicant you would have the main share of the delivery. </w:t>
      </w:r>
      <w:r w:rsidR="008F12A2" w:rsidRPr="003856F1">
        <w:rPr>
          <w:rFonts w:cstheme="minorHAnsi"/>
        </w:rPr>
        <w:t>An</w:t>
      </w:r>
      <w:r w:rsidR="0068713A">
        <w:rPr>
          <w:rFonts w:cstheme="minorHAnsi"/>
        </w:rPr>
        <w:t xml:space="preserve"> exception to this </w:t>
      </w:r>
      <w:r w:rsidR="00E14414" w:rsidRPr="003856F1">
        <w:rPr>
          <w:rFonts w:cstheme="minorHAnsi"/>
        </w:rPr>
        <w:t>would be</w:t>
      </w:r>
      <w:r w:rsidR="0068713A">
        <w:rPr>
          <w:rFonts w:cstheme="minorHAnsi"/>
        </w:rPr>
        <w:t xml:space="preserve"> if the lead applicant takes a coordinating/management role due to the type of organisation they are</w:t>
      </w:r>
      <w:r w:rsidR="00C22884" w:rsidRPr="003856F1">
        <w:rPr>
          <w:rFonts w:cstheme="minorHAnsi"/>
        </w:rPr>
        <w:t xml:space="preserve"> – where this is the case</w:t>
      </w:r>
      <w:r w:rsidR="00E14414" w:rsidRPr="003856F1">
        <w:rPr>
          <w:rFonts w:cstheme="minorHAnsi"/>
        </w:rPr>
        <w:t>,</w:t>
      </w:r>
      <w:r w:rsidR="00C22884" w:rsidRPr="003856F1">
        <w:rPr>
          <w:rFonts w:cstheme="minorHAnsi"/>
        </w:rPr>
        <w:t xml:space="preserve"> we would expect </w:t>
      </w:r>
      <w:r w:rsidR="00E14414" w:rsidRPr="003856F1">
        <w:rPr>
          <w:rFonts w:cstheme="minorHAnsi"/>
        </w:rPr>
        <w:t xml:space="preserve">that </w:t>
      </w:r>
      <w:r w:rsidR="00C22884" w:rsidRPr="003856F1">
        <w:rPr>
          <w:rFonts w:cstheme="minorHAnsi"/>
        </w:rPr>
        <w:t xml:space="preserve">centralised </w:t>
      </w:r>
      <w:r w:rsidR="00A426D2" w:rsidRPr="003856F1">
        <w:rPr>
          <w:rFonts w:cstheme="minorHAnsi"/>
        </w:rPr>
        <w:t xml:space="preserve">management </w:t>
      </w:r>
      <w:r w:rsidR="00C22884" w:rsidRPr="003856F1">
        <w:rPr>
          <w:rFonts w:cstheme="minorHAnsi"/>
        </w:rPr>
        <w:t>costs</w:t>
      </w:r>
      <w:r w:rsidR="00A426D2" w:rsidRPr="003856F1">
        <w:rPr>
          <w:rFonts w:cstheme="minorHAnsi"/>
        </w:rPr>
        <w:t xml:space="preserve"> are made clear and that they are </w:t>
      </w:r>
      <w:r w:rsidR="00C22884" w:rsidRPr="003856F1">
        <w:rPr>
          <w:rFonts w:cstheme="minorHAnsi"/>
        </w:rPr>
        <w:t>reasonable and proportionate</w:t>
      </w:r>
      <w:r w:rsidR="0068713A">
        <w:rPr>
          <w:rFonts w:cstheme="minorHAnsi"/>
        </w:rPr>
        <w:t xml:space="preserve"> Most importantly in the application, it needs to be clear who is doing what.</w:t>
      </w:r>
    </w:p>
    <w:p w14:paraId="68148D9E" w14:textId="77777777" w:rsidR="008F2BE0" w:rsidRDefault="008F2BE0" w:rsidP="008F2BE0">
      <w:pPr>
        <w:spacing w:after="0" w:line="240" w:lineRule="auto"/>
        <w:rPr>
          <w:rFonts w:cstheme="minorHAnsi"/>
        </w:rPr>
      </w:pPr>
    </w:p>
    <w:p w14:paraId="2E3C49A9" w14:textId="36BC123D" w:rsidR="00514F18" w:rsidRPr="003856F1" w:rsidRDefault="1028B0BC" w:rsidP="008F2BE0">
      <w:pPr>
        <w:spacing w:after="0" w:line="240" w:lineRule="auto"/>
        <w:rPr>
          <w:rFonts w:cstheme="minorHAnsi"/>
        </w:rPr>
      </w:pPr>
      <w:r w:rsidRPr="003856F1">
        <w:rPr>
          <w:rFonts w:cstheme="minorHAnsi"/>
        </w:rPr>
        <w:t xml:space="preserve">It is expected that a lead organisation for a consortium will be able to demonstrate that they are either delivering the project (and have the requisite skills and experience to do so) or will have robust arrangements in place to co-ordinate and manage delivery (and have the requisite skills and experience in this co-ordination and management role), or a combination of both.  An organisation can, therefore, hold both operational and management roles to lead a consortium, </w:t>
      </w:r>
      <w:proofErr w:type="gramStart"/>
      <w:r w:rsidRPr="003856F1">
        <w:rPr>
          <w:rFonts w:cstheme="minorHAnsi"/>
        </w:rPr>
        <w:t>provided that</w:t>
      </w:r>
      <w:proofErr w:type="gramEnd"/>
      <w:r w:rsidRPr="003856F1">
        <w:rPr>
          <w:rFonts w:cstheme="minorHAnsi"/>
        </w:rPr>
        <w:t xml:space="preserve"> they are able to evidence their ability to successfully deliver both of these roles within their application.</w:t>
      </w:r>
    </w:p>
    <w:p w14:paraId="6CD42A44" w14:textId="69118A97" w:rsidR="00514F18" w:rsidRDefault="00514F18" w:rsidP="008F2BE0">
      <w:pPr>
        <w:spacing w:after="0"/>
      </w:pPr>
    </w:p>
    <w:p w14:paraId="63A7A421" w14:textId="5A7358CB" w:rsidR="00514F18" w:rsidRDefault="00514F18" w:rsidP="008F2BE0">
      <w:pPr>
        <w:pStyle w:val="Heading1"/>
        <w:spacing w:before="0"/>
      </w:pPr>
      <w:r>
        <w:t>Finance</w:t>
      </w:r>
    </w:p>
    <w:p w14:paraId="0017143E" w14:textId="77777777" w:rsidR="00541616" w:rsidRPr="006A7B87" w:rsidRDefault="00541616" w:rsidP="008F2BE0">
      <w:pPr>
        <w:spacing w:after="0"/>
        <w:rPr>
          <w:b/>
          <w:bCs/>
        </w:rPr>
      </w:pPr>
      <w:r w:rsidRPr="006A7B87">
        <w:rPr>
          <w:b/>
          <w:bCs/>
        </w:rPr>
        <w:t xml:space="preserve">How is the funding drawn down? </w:t>
      </w:r>
    </w:p>
    <w:p w14:paraId="502162F0" w14:textId="79A1D880" w:rsidR="00250073" w:rsidRPr="00AC2F8F" w:rsidRDefault="0068713A" w:rsidP="008F2BE0">
      <w:pPr>
        <w:spacing w:after="0"/>
        <w:rPr>
          <w:rStyle w:val="ui-provider"/>
        </w:rPr>
      </w:pPr>
      <w:r>
        <w:rPr>
          <w:rStyle w:val="ui-provider"/>
        </w:rPr>
        <w:lastRenderedPageBreak/>
        <w:t>LCRCA’s standard payment terms are payments in arrears</w:t>
      </w:r>
      <w:r w:rsidR="00D178EE">
        <w:rPr>
          <w:rStyle w:val="ui-provider"/>
        </w:rPr>
        <w:t xml:space="preserve"> quarter</w:t>
      </w:r>
      <w:r w:rsidR="00421922">
        <w:rPr>
          <w:rStyle w:val="ui-provider"/>
        </w:rPr>
        <w:t>ly</w:t>
      </w:r>
      <w:r>
        <w:rPr>
          <w:rStyle w:val="ui-provider"/>
        </w:rPr>
        <w:t xml:space="preserve"> on defrayment.</w:t>
      </w:r>
      <w:r w:rsidR="00421922">
        <w:rPr>
          <w:rStyle w:val="ui-provider"/>
        </w:rPr>
        <w:t xml:space="preserve"> </w:t>
      </w:r>
      <w:r w:rsidR="00250073" w:rsidRPr="26DA8798">
        <w:rPr>
          <w:rStyle w:val="ui-provider"/>
        </w:rPr>
        <w:t xml:space="preserve">However, LCRCA recognise that the community and voluntary sector work on different cash flow systems to the private </w:t>
      </w:r>
      <w:r w:rsidR="00250073" w:rsidRPr="63B94C2E">
        <w:rPr>
          <w:rStyle w:val="ui-provider"/>
        </w:rPr>
        <w:t>and public sectors</w:t>
      </w:r>
      <w:r w:rsidR="00250073" w:rsidRPr="26DA8798">
        <w:rPr>
          <w:rStyle w:val="ui-provider"/>
        </w:rPr>
        <w:t xml:space="preserve">. </w:t>
      </w:r>
    </w:p>
    <w:p w14:paraId="2BDD6A5B" w14:textId="11C14827" w:rsidR="00250073" w:rsidRPr="00AC2F8F" w:rsidRDefault="00250073" w:rsidP="008F2BE0">
      <w:pPr>
        <w:spacing w:after="0"/>
        <w:rPr>
          <w:rStyle w:val="ui-provider"/>
          <w:rFonts w:cstheme="minorHAnsi"/>
        </w:rPr>
      </w:pPr>
      <w:r w:rsidRPr="00AC2F8F">
        <w:rPr>
          <w:rStyle w:val="ui-provider"/>
          <w:rFonts w:cstheme="minorHAnsi"/>
        </w:rPr>
        <w:t xml:space="preserve">We can consider payments in advance on a </w:t>
      </w:r>
      <w:r w:rsidR="00B4074F" w:rsidRPr="00AC2F8F">
        <w:rPr>
          <w:rStyle w:val="ui-provider"/>
          <w:rFonts w:cstheme="minorHAnsi"/>
        </w:rPr>
        <w:t>case-by-case</w:t>
      </w:r>
      <w:r w:rsidRPr="00AC2F8F">
        <w:rPr>
          <w:rStyle w:val="ui-provider"/>
          <w:rFonts w:cstheme="minorHAnsi"/>
        </w:rPr>
        <w:t xml:space="preserve"> </w:t>
      </w:r>
      <w:r w:rsidR="00CD588F" w:rsidRPr="00AC2F8F">
        <w:rPr>
          <w:rStyle w:val="ui-provider"/>
          <w:rFonts w:cstheme="minorHAnsi"/>
        </w:rPr>
        <w:t>basis,</w:t>
      </w:r>
      <w:r w:rsidRPr="00AC2F8F">
        <w:rPr>
          <w:rStyle w:val="ui-provider"/>
          <w:rFonts w:cstheme="minorHAnsi"/>
        </w:rPr>
        <w:t xml:space="preserve"> and this will need to be agreed and signed off by our Director of Finance to manage the risk to public funding, but there are different payment methods available for these circumstances. The Combined Authority has experience of this and includes it within its policies and strategies to ensure there is no disadvantage to the community and voluntary sector.</w:t>
      </w:r>
    </w:p>
    <w:p w14:paraId="6845DE60" w14:textId="77777777" w:rsidR="00250073" w:rsidRPr="00AC2F8F" w:rsidRDefault="00250073" w:rsidP="008F2BE0">
      <w:pPr>
        <w:spacing w:after="0"/>
        <w:rPr>
          <w:rStyle w:val="ui-provider"/>
          <w:rFonts w:cstheme="minorHAnsi"/>
        </w:rPr>
      </w:pPr>
      <w:r w:rsidRPr="00AC2F8F">
        <w:rPr>
          <w:rStyle w:val="ui-provider"/>
          <w:rFonts w:cstheme="minorHAnsi"/>
        </w:rPr>
        <w:t>It is recommended that if applicants are seeking a different payment method from payments in arrears, they include this within their application and state what they are looking for and why.</w:t>
      </w:r>
    </w:p>
    <w:p w14:paraId="3E488B89" w14:textId="77777777" w:rsidR="004615C7" w:rsidRDefault="004615C7" w:rsidP="008F2BE0">
      <w:pPr>
        <w:spacing w:after="0"/>
        <w:rPr>
          <w:rStyle w:val="ui-provider"/>
        </w:rPr>
      </w:pPr>
    </w:p>
    <w:p w14:paraId="073E8731" w14:textId="77777777" w:rsidR="003F5C55" w:rsidRPr="006A7B87" w:rsidRDefault="003F5C55" w:rsidP="008F2BE0">
      <w:pPr>
        <w:spacing w:after="0"/>
        <w:rPr>
          <w:b/>
          <w:bCs/>
        </w:rPr>
      </w:pPr>
      <w:r w:rsidRPr="006A7B87">
        <w:rPr>
          <w:b/>
          <w:bCs/>
        </w:rPr>
        <w:t>Is match funding an advantage?</w:t>
      </w:r>
    </w:p>
    <w:p w14:paraId="2EA8B053" w14:textId="6B8FD1BE" w:rsidR="006325D0" w:rsidRPr="00DB4DC2" w:rsidRDefault="003F5C55" w:rsidP="008F2BE0">
      <w:pPr>
        <w:spacing w:after="0"/>
        <w:rPr>
          <w:rFonts w:eastAsia="Times New Roman" w:cstheme="minorHAnsi"/>
          <w:color w:val="000000"/>
          <w:lang w:eastAsia="en-GB"/>
        </w:rPr>
      </w:pPr>
      <w:r>
        <w:t>There are no minimum</w:t>
      </w:r>
      <w:r w:rsidR="00FA5F6B">
        <w:t>/</w:t>
      </w:r>
      <w:r>
        <w:t>match funding requirements, however, bidders should seek to maximise the impact of their proposed project</w:t>
      </w:r>
      <w:r w:rsidR="00521AAC">
        <w:t xml:space="preserve"> and are welcome to demonstrate available match funding if they feel it strengthens their application</w:t>
      </w:r>
      <w:r>
        <w:t>.</w:t>
      </w:r>
      <w:r w:rsidR="006325D0" w:rsidRPr="006325D0">
        <w:rPr>
          <w:rFonts w:eastAsia="Times New Roman" w:cstheme="minorHAnsi"/>
          <w:b/>
          <w:bCs/>
          <w:color w:val="000000"/>
          <w:lang w:eastAsia="en-GB"/>
        </w:rPr>
        <w:t xml:space="preserve"> </w:t>
      </w:r>
      <w:r w:rsidR="004615C7" w:rsidRPr="004615C7">
        <w:rPr>
          <w:rFonts w:eastAsia="Times New Roman" w:cstheme="minorHAnsi"/>
          <w:color w:val="000000"/>
          <w:lang w:eastAsia="en-GB"/>
        </w:rPr>
        <w:t xml:space="preserve">Applicants who </w:t>
      </w:r>
      <w:r w:rsidR="007941B0">
        <w:rPr>
          <w:rFonts w:eastAsia="Times New Roman" w:cstheme="minorHAnsi"/>
          <w:color w:val="000000"/>
          <w:lang w:eastAsia="en-GB"/>
        </w:rPr>
        <w:t xml:space="preserve">can demonstrate delivery against </w:t>
      </w:r>
      <w:r w:rsidR="00DB4DC2">
        <w:rPr>
          <w:rFonts w:eastAsia="Times New Roman" w:cstheme="minorHAnsi"/>
          <w:color w:val="000000"/>
          <w:lang w:eastAsia="en-GB"/>
        </w:rPr>
        <w:t xml:space="preserve">the outputs and outcomes as well as additionality (which </w:t>
      </w:r>
      <w:r w:rsidR="00DB4DC2">
        <w:rPr>
          <w:rFonts w:eastAsia="Times New Roman" w:cstheme="minorHAnsi"/>
          <w:i/>
          <w:iCs/>
          <w:color w:val="000000"/>
          <w:lang w:eastAsia="en-GB"/>
        </w:rPr>
        <w:t>may</w:t>
      </w:r>
      <w:r w:rsidR="00DB4DC2">
        <w:rPr>
          <w:rFonts w:eastAsia="Times New Roman" w:cstheme="minorHAnsi"/>
          <w:color w:val="000000"/>
          <w:lang w:eastAsia="en-GB"/>
        </w:rPr>
        <w:t xml:space="preserve"> be </w:t>
      </w:r>
      <w:r w:rsidR="00453C8F">
        <w:rPr>
          <w:rFonts w:eastAsia="Times New Roman" w:cstheme="minorHAnsi"/>
          <w:color w:val="000000"/>
          <w:lang w:eastAsia="en-GB"/>
        </w:rPr>
        <w:t>maximised through match funded elements) will score highly.</w:t>
      </w:r>
    </w:p>
    <w:p w14:paraId="04D514EF" w14:textId="3696F73D" w:rsidR="003F5C55" w:rsidRDefault="003F5C55" w:rsidP="008F2BE0">
      <w:pPr>
        <w:spacing w:after="0"/>
      </w:pPr>
    </w:p>
    <w:p w14:paraId="75E53A40" w14:textId="048DD21C" w:rsidR="00546545" w:rsidRPr="00260058" w:rsidRDefault="00453C8F" w:rsidP="008F2BE0">
      <w:pPr>
        <w:pStyle w:val="paragraph"/>
        <w:spacing w:before="0" w:beforeAutospacing="0" w:after="0" w:afterAutospacing="0"/>
        <w:textAlignment w:val="baseline"/>
        <w:rPr>
          <w:rStyle w:val="normaltextrun"/>
          <w:rFonts w:asciiTheme="minorHAnsi" w:hAnsiTheme="minorHAnsi" w:cstheme="minorHAnsi"/>
          <w:b/>
          <w:bCs/>
          <w:sz w:val="22"/>
          <w:szCs w:val="22"/>
        </w:rPr>
      </w:pPr>
      <w:r>
        <w:rPr>
          <w:rStyle w:val="normaltextrun"/>
          <w:rFonts w:asciiTheme="minorHAnsi" w:hAnsiTheme="minorHAnsi" w:cstheme="minorHAnsi"/>
          <w:b/>
          <w:bCs/>
          <w:sz w:val="22"/>
          <w:szCs w:val="22"/>
          <w:lang w:val="en-GB"/>
        </w:rPr>
        <w:t>W</w:t>
      </w:r>
      <w:r w:rsidR="00546545" w:rsidRPr="00260058">
        <w:rPr>
          <w:rStyle w:val="normaltextrun"/>
          <w:rFonts w:asciiTheme="minorHAnsi" w:hAnsiTheme="minorHAnsi" w:cstheme="minorHAnsi"/>
          <w:b/>
          <w:bCs/>
          <w:sz w:val="22"/>
          <w:szCs w:val="22"/>
          <w:lang w:val="en-GB"/>
        </w:rPr>
        <w:t xml:space="preserve">ill match </w:t>
      </w:r>
      <w:r>
        <w:rPr>
          <w:rStyle w:val="normaltextrun"/>
          <w:rFonts w:asciiTheme="minorHAnsi" w:hAnsiTheme="minorHAnsi" w:cstheme="minorHAnsi"/>
          <w:b/>
          <w:bCs/>
          <w:sz w:val="22"/>
          <w:szCs w:val="22"/>
          <w:lang w:val="en-GB"/>
        </w:rPr>
        <w:t xml:space="preserve">funding </w:t>
      </w:r>
      <w:r w:rsidR="00546545" w:rsidRPr="00260058">
        <w:rPr>
          <w:rStyle w:val="normaltextrun"/>
          <w:rFonts w:asciiTheme="minorHAnsi" w:hAnsiTheme="minorHAnsi" w:cstheme="minorHAnsi"/>
          <w:b/>
          <w:bCs/>
          <w:sz w:val="22"/>
          <w:szCs w:val="22"/>
          <w:lang w:val="en-GB"/>
        </w:rPr>
        <w:t>be included in scoring</w:t>
      </w:r>
      <w:r>
        <w:rPr>
          <w:rStyle w:val="normaltextrun"/>
          <w:rFonts w:asciiTheme="minorHAnsi" w:hAnsiTheme="minorHAnsi" w:cstheme="minorHAnsi"/>
          <w:b/>
          <w:bCs/>
          <w:sz w:val="22"/>
          <w:szCs w:val="22"/>
          <w:lang w:val="en-GB"/>
        </w:rPr>
        <w:t xml:space="preserve"> and </w:t>
      </w:r>
      <w:r w:rsidR="00546545" w:rsidRPr="00260058">
        <w:rPr>
          <w:rStyle w:val="normaltextrun"/>
          <w:rFonts w:asciiTheme="minorHAnsi" w:hAnsiTheme="minorHAnsi" w:cstheme="minorHAnsi"/>
          <w:b/>
          <w:bCs/>
          <w:sz w:val="22"/>
          <w:szCs w:val="22"/>
          <w:lang w:val="en-GB"/>
        </w:rPr>
        <w:t>cost analysis of the budget?</w:t>
      </w:r>
    </w:p>
    <w:p w14:paraId="75F89ECF" w14:textId="7B90A91A" w:rsidR="00546545" w:rsidRPr="00260058" w:rsidRDefault="00546545" w:rsidP="008F2BE0">
      <w:pPr>
        <w:pStyle w:val="paragraph"/>
        <w:spacing w:before="0" w:beforeAutospacing="0" w:after="0" w:afterAutospacing="0"/>
        <w:textAlignment w:val="baseline"/>
        <w:rPr>
          <w:rStyle w:val="normaltextrun"/>
          <w:rFonts w:asciiTheme="minorHAnsi" w:hAnsiTheme="minorHAnsi" w:cstheme="minorBidi"/>
          <w:iCs/>
          <w:sz w:val="22"/>
          <w:szCs w:val="22"/>
          <w:lang w:val="en-GB"/>
        </w:rPr>
      </w:pPr>
      <w:r w:rsidRPr="00260058">
        <w:rPr>
          <w:rStyle w:val="normaltextrun"/>
          <w:rFonts w:asciiTheme="minorHAnsi" w:hAnsiTheme="minorHAnsi" w:cstheme="minorBidi"/>
          <w:iCs/>
          <w:sz w:val="22"/>
          <w:szCs w:val="22"/>
          <w:lang w:val="en-GB"/>
        </w:rPr>
        <w:t>All elements of the application including budgets and match funding will be assessed as part of the scoring.</w:t>
      </w:r>
    </w:p>
    <w:p w14:paraId="2838DFD2" w14:textId="77777777" w:rsidR="00260058" w:rsidRDefault="00260058" w:rsidP="008F2BE0">
      <w:pPr>
        <w:pStyle w:val="paragraph"/>
        <w:spacing w:before="0" w:beforeAutospacing="0" w:after="0" w:afterAutospacing="0"/>
        <w:textAlignment w:val="baseline"/>
        <w:rPr>
          <w:rStyle w:val="normaltextrun"/>
          <w:rFonts w:asciiTheme="minorHAnsi" w:hAnsiTheme="minorHAnsi" w:cstheme="minorHAnsi"/>
          <w:sz w:val="22"/>
          <w:szCs w:val="22"/>
        </w:rPr>
      </w:pPr>
    </w:p>
    <w:p w14:paraId="11AC606D" w14:textId="23B89026" w:rsidR="00546545" w:rsidRPr="00260058" w:rsidRDefault="00453C8F" w:rsidP="008F2BE0">
      <w:pPr>
        <w:pStyle w:val="paragraph"/>
        <w:spacing w:before="0" w:beforeAutospacing="0" w:after="0" w:afterAutospacing="0"/>
        <w:textAlignment w:val="baseline"/>
        <w:rPr>
          <w:rStyle w:val="normaltextrun"/>
          <w:rFonts w:asciiTheme="minorHAnsi" w:hAnsiTheme="minorHAnsi" w:cstheme="minorHAnsi"/>
          <w:b/>
          <w:bCs/>
          <w:sz w:val="22"/>
          <w:szCs w:val="22"/>
        </w:rPr>
      </w:pPr>
      <w:r>
        <w:rPr>
          <w:rStyle w:val="normaltextrun"/>
          <w:rFonts w:asciiTheme="minorHAnsi" w:hAnsiTheme="minorHAnsi" w:cstheme="minorHAnsi"/>
          <w:b/>
          <w:bCs/>
          <w:sz w:val="22"/>
          <w:szCs w:val="22"/>
          <w:lang w:val="en-GB"/>
        </w:rPr>
        <w:t>C</w:t>
      </w:r>
      <w:r w:rsidR="00546545" w:rsidRPr="00260058">
        <w:rPr>
          <w:rStyle w:val="normaltextrun"/>
          <w:rFonts w:asciiTheme="minorHAnsi" w:hAnsiTheme="minorHAnsi" w:cstheme="minorHAnsi"/>
          <w:b/>
          <w:bCs/>
          <w:sz w:val="22"/>
          <w:szCs w:val="22"/>
          <w:lang w:val="en-GB"/>
        </w:rPr>
        <w:t xml:space="preserve">an match </w:t>
      </w:r>
      <w:r>
        <w:rPr>
          <w:rStyle w:val="normaltextrun"/>
          <w:rFonts w:asciiTheme="minorHAnsi" w:hAnsiTheme="minorHAnsi" w:cstheme="minorHAnsi"/>
          <w:b/>
          <w:bCs/>
          <w:sz w:val="22"/>
          <w:szCs w:val="22"/>
          <w:lang w:val="en-GB"/>
        </w:rPr>
        <w:t xml:space="preserve">funding </w:t>
      </w:r>
      <w:r w:rsidR="00546545" w:rsidRPr="00260058">
        <w:rPr>
          <w:rStyle w:val="normaltextrun"/>
          <w:rFonts w:asciiTheme="minorHAnsi" w:hAnsiTheme="minorHAnsi" w:cstheme="minorHAnsi"/>
          <w:b/>
          <w:bCs/>
          <w:sz w:val="22"/>
          <w:szCs w:val="22"/>
          <w:lang w:val="en-GB"/>
        </w:rPr>
        <w:t>be ‘in kind’ and /or cash?</w:t>
      </w:r>
    </w:p>
    <w:p w14:paraId="1CFBF7D6" w14:textId="77777777" w:rsidR="00546545" w:rsidRPr="00260058" w:rsidRDefault="00546545" w:rsidP="008F2BE0">
      <w:pPr>
        <w:pStyle w:val="paragraph"/>
        <w:spacing w:before="0" w:beforeAutospacing="0" w:after="0" w:afterAutospacing="0"/>
        <w:textAlignment w:val="baseline"/>
        <w:rPr>
          <w:rStyle w:val="normaltextrun"/>
          <w:rFonts w:asciiTheme="minorHAnsi" w:hAnsiTheme="minorHAnsi" w:cstheme="minorBidi"/>
          <w:iCs/>
          <w:sz w:val="22"/>
          <w:szCs w:val="22"/>
          <w:lang w:val="en-GB"/>
        </w:rPr>
      </w:pPr>
      <w:r w:rsidRPr="00260058">
        <w:rPr>
          <w:rStyle w:val="normaltextrun"/>
          <w:rFonts w:asciiTheme="minorHAnsi" w:hAnsiTheme="minorHAnsi" w:cstheme="minorBidi"/>
          <w:iCs/>
          <w:sz w:val="22"/>
          <w:szCs w:val="22"/>
          <w:lang w:val="en-GB"/>
        </w:rPr>
        <w:t xml:space="preserve">Match funding can either be ‘in kind’ or cash. However, applicants should provide clarity on the type, source and whether match is secured or still needs to be confirmed. </w:t>
      </w:r>
    </w:p>
    <w:p w14:paraId="11AB5F4B" w14:textId="77777777" w:rsidR="00260058" w:rsidRDefault="00260058" w:rsidP="008F2BE0">
      <w:pPr>
        <w:pStyle w:val="paragraph"/>
        <w:spacing w:before="0" w:beforeAutospacing="0" w:after="0" w:afterAutospacing="0"/>
        <w:textAlignment w:val="baseline"/>
        <w:rPr>
          <w:rStyle w:val="normaltextrun"/>
          <w:rFonts w:asciiTheme="minorHAnsi" w:hAnsiTheme="minorHAnsi" w:cstheme="minorHAnsi"/>
          <w:sz w:val="22"/>
          <w:szCs w:val="22"/>
        </w:rPr>
      </w:pPr>
    </w:p>
    <w:p w14:paraId="330E1041" w14:textId="20484518" w:rsidR="00546545" w:rsidRPr="00260058" w:rsidRDefault="00453C8F" w:rsidP="008F2BE0">
      <w:pPr>
        <w:pStyle w:val="paragraph"/>
        <w:spacing w:before="0" w:beforeAutospacing="0" w:after="0" w:afterAutospacing="0"/>
        <w:textAlignment w:val="baseline"/>
        <w:rPr>
          <w:rStyle w:val="eop"/>
          <w:rFonts w:asciiTheme="minorHAnsi" w:hAnsiTheme="minorHAnsi" w:cstheme="minorBidi"/>
          <w:b/>
          <w:bCs/>
          <w:sz w:val="22"/>
          <w:szCs w:val="22"/>
        </w:rPr>
      </w:pPr>
      <w:r>
        <w:rPr>
          <w:rStyle w:val="normaltextrun"/>
          <w:rFonts w:asciiTheme="minorHAnsi" w:hAnsiTheme="minorHAnsi" w:cstheme="minorBidi"/>
          <w:b/>
          <w:bCs/>
          <w:sz w:val="22"/>
          <w:szCs w:val="22"/>
          <w:lang w:val="en-GB"/>
        </w:rPr>
        <w:t>Can LCRCA confirm the</w:t>
      </w:r>
      <w:r w:rsidR="00546545" w:rsidRPr="00260058">
        <w:rPr>
          <w:rStyle w:val="normaltextrun"/>
          <w:rFonts w:asciiTheme="minorHAnsi" w:hAnsiTheme="minorHAnsi" w:cstheme="minorBidi"/>
          <w:b/>
          <w:bCs/>
          <w:sz w:val="22"/>
          <w:szCs w:val="22"/>
          <w:lang w:val="en-GB"/>
        </w:rPr>
        <w:t xml:space="preserve"> levels of match provided for Ways to Work</w:t>
      </w:r>
      <w:r w:rsidR="00546545" w:rsidRPr="00260058">
        <w:rPr>
          <w:rStyle w:val="eop"/>
          <w:rFonts w:asciiTheme="minorHAnsi" w:hAnsiTheme="minorHAnsi" w:cstheme="minorBidi"/>
          <w:b/>
          <w:bCs/>
          <w:sz w:val="22"/>
          <w:szCs w:val="22"/>
        </w:rPr>
        <w:t xml:space="preserve"> and Households into Work  </w:t>
      </w:r>
    </w:p>
    <w:p w14:paraId="3D9258EB" w14:textId="069ACA4B" w:rsidR="00546545" w:rsidRPr="00260058" w:rsidRDefault="00546545" w:rsidP="008F2BE0">
      <w:pPr>
        <w:pStyle w:val="paragraph"/>
        <w:spacing w:before="0" w:beforeAutospacing="0" w:after="0" w:afterAutospacing="0"/>
        <w:textAlignment w:val="baseline"/>
        <w:rPr>
          <w:rStyle w:val="eop"/>
          <w:rFonts w:asciiTheme="minorHAnsi" w:hAnsiTheme="minorHAnsi" w:cstheme="minorHAnsi"/>
          <w:sz w:val="22"/>
          <w:szCs w:val="22"/>
        </w:rPr>
      </w:pPr>
      <w:r w:rsidRPr="00260058">
        <w:rPr>
          <w:rStyle w:val="eop"/>
          <w:rFonts w:asciiTheme="minorHAnsi" w:hAnsiTheme="minorHAnsi" w:cstheme="minorHAnsi"/>
          <w:sz w:val="22"/>
          <w:szCs w:val="22"/>
        </w:rPr>
        <w:t xml:space="preserve">Match </w:t>
      </w:r>
      <w:r w:rsidR="00353760">
        <w:rPr>
          <w:rStyle w:val="eop"/>
          <w:rFonts w:asciiTheme="minorHAnsi" w:hAnsiTheme="minorHAnsi" w:cstheme="minorHAnsi"/>
          <w:sz w:val="22"/>
          <w:szCs w:val="22"/>
        </w:rPr>
        <w:t xml:space="preserve">funding </w:t>
      </w:r>
      <w:r w:rsidRPr="00260058">
        <w:rPr>
          <w:rStyle w:val="eop"/>
          <w:rFonts w:asciiTheme="minorHAnsi" w:hAnsiTheme="minorHAnsi" w:cstheme="minorHAnsi"/>
          <w:sz w:val="22"/>
          <w:szCs w:val="22"/>
        </w:rPr>
        <w:t>is determined on a project-by-project basis and therefore the level of match in other projects is irrelevant to this call.</w:t>
      </w:r>
    </w:p>
    <w:p w14:paraId="12A53AB6" w14:textId="77777777" w:rsidR="00EE0DC9" w:rsidRDefault="00EE0DC9" w:rsidP="008F2BE0">
      <w:pPr>
        <w:spacing w:after="0"/>
        <w:rPr>
          <w:rFonts w:eastAsia="Times New Roman" w:cstheme="minorHAnsi"/>
          <w:lang w:eastAsia="en-GB"/>
        </w:rPr>
      </w:pPr>
    </w:p>
    <w:p w14:paraId="593AF0F4" w14:textId="170A012E" w:rsidR="00016656" w:rsidRPr="00EE0DC9" w:rsidRDefault="00016656" w:rsidP="008F2BE0">
      <w:pPr>
        <w:spacing w:after="0"/>
        <w:rPr>
          <w:rFonts w:eastAsia="Times New Roman" w:cstheme="minorHAnsi"/>
          <w:b/>
          <w:bCs/>
          <w:lang w:eastAsia="en-GB"/>
        </w:rPr>
      </w:pPr>
      <w:r w:rsidRPr="00EE0DC9">
        <w:rPr>
          <w:rFonts w:eastAsia="Times New Roman" w:cstheme="minorHAnsi"/>
          <w:b/>
          <w:bCs/>
          <w:lang w:eastAsia="en-GB"/>
        </w:rPr>
        <w:t xml:space="preserve">Is the payment mechanism cost-recovery or is </w:t>
      </w:r>
      <w:r w:rsidR="00D05ADB">
        <w:rPr>
          <w:rFonts w:eastAsia="Times New Roman" w:cstheme="minorHAnsi"/>
          <w:b/>
          <w:bCs/>
          <w:lang w:eastAsia="en-GB"/>
        </w:rPr>
        <w:t>an</w:t>
      </w:r>
      <w:r w:rsidR="00D05ADB" w:rsidRPr="00EE0DC9">
        <w:rPr>
          <w:rFonts w:eastAsia="Times New Roman" w:cstheme="minorHAnsi"/>
          <w:b/>
          <w:bCs/>
          <w:lang w:eastAsia="en-GB"/>
        </w:rPr>
        <w:t xml:space="preserve"> </w:t>
      </w:r>
      <w:r w:rsidRPr="00EE0DC9">
        <w:rPr>
          <w:rFonts w:eastAsia="Times New Roman" w:cstheme="minorHAnsi"/>
          <w:b/>
          <w:bCs/>
          <w:lang w:eastAsia="en-GB"/>
        </w:rPr>
        <w:t xml:space="preserve">element of fixed fee potentially possible? </w:t>
      </w:r>
    </w:p>
    <w:p w14:paraId="453AB0E2" w14:textId="7F7D4E8B" w:rsidR="00016656" w:rsidRDefault="005C20C7" w:rsidP="008F2BE0">
      <w:pPr>
        <w:spacing w:after="0"/>
        <w:rPr>
          <w:rFonts w:cstheme="minorHAnsi"/>
        </w:rPr>
      </w:pPr>
      <w:r>
        <w:rPr>
          <w:rFonts w:cstheme="minorHAnsi"/>
        </w:rPr>
        <w:t>LCRCA</w:t>
      </w:r>
      <w:r w:rsidR="00016656" w:rsidRPr="00EE0DC9">
        <w:rPr>
          <w:rFonts w:cstheme="minorHAnsi"/>
        </w:rPr>
        <w:t xml:space="preserve"> is working on a cost recovery model and wouldn’t be looking to do fixed fees.</w:t>
      </w:r>
    </w:p>
    <w:p w14:paraId="4CF7DA38" w14:textId="77777777" w:rsidR="00EE0DC9" w:rsidRPr="00EE0DC9" w:rsidRDefault="00EE0DC9" w:rsidP="008F2BE0">
      <w:pPr>
        <w:spacing w:after="0"/>
        <w:rPr>
          <w:rFonts w:cstheme="minorHAnsi"/>
        </w:rPr>
      </w:pPr>
    </w:p>
    <w:p w14:paraId="77A0ABAF" w14:textId="2EA2C927" w:rsidR="00016656" w:rsidRPr="00EE0DC9" w:rsidRDefault="00016656" w:rsidP="008F2BE0">
      <w:pPr>
        <w:spacing w:after="0"/>
        <w:rPr>
          <w:rFonts w:eastAsia="Times New Roman" w:cstheme="minorHAnsi"/>
          <w:b/>
          <w:bCs/>
          <w:lang w:eastAsia="en-GB"/>
        </w:rPr>
      </w:pPr>
      <w:r w:rsidRPr="00EE0DC9">
        <w:rPr>
          <w:rFonts w:eastAsia="Times New Roman" w:cstheme="minorHAnsi"/>
          <w:b/>
          <w:bCs/>
          <w:lang w:eastAsia="en-GB"/>
        </w:rPr>
        <w:t xml:space="preserve">Would an ILM-type cost of living participation payment for young people engaged in a programme of support be an eligible cost? </w:t>
      </w:r>
    </w:p>
    <w:p w14:paraId="69E753C1" w14:textId="13FCE043" w:rsidR="00016656" w:rsidRPr="00EE0DC9" w:rsidRDefault="00016656" w:rsidP="008F2BE0">
      <w:pPr>
        <w:spacing w:after="0"/>
        <w:rPr>
          <w:rFonts w:cstheme="minorHAnsi"/>
        </w:rPr>
      </w:pPr>
      <w:r w:rsidRPr="00EE0DC9">
        <w:rPr>
          <w:rFonts w:cstheme="minorHAnsi"/>
        </w:rPr>
        <w:t>These costs could be eligible, but further information would be required to understand what they entail and that the participants are eligible.</w:t>
      </w:r>
    </w:p>
    <w:p w14:paraId="56C19D14" w14:textId="77777777" w:rsidR="00EE0DC9" w:rsidRDefault="00EE0DC9" w:rsidP="008F2BE0">
      <w:pPr>
        <w:spacing w:after="0"/>
        <w:rPr>
          <w:rFonts w:eastAsia="Times New Roman" w:cstheme="minorHAnsi"/>
          <w:b/>
          <w:bCs/>
          <w:lang w:eastAsia="en-GB"/>
        </w:rPr>
      </w:pPr>
    </w:p>
    <w:p w14:paraId="6A8504A1" w14:textId="73296560" w:rsidR="00016656" w:rsidRPr="00EE0DC9" w:rsidRDefault="00016656" w:rsidP="008F2BE0">
      <w:pPr>
        <w:spacing w:after="0"/>
        <w:rPr>
          <w:rFonts w:eastAsia="Times New Roman" w:cstheme="minorHAnsi"/>
          <w:b/>
          <w:bCs/>
          <w:lang w:eastAsia="en-GB"/>
        </w:rPr>
      </w:pPr>
      <w:r w:rsidRPr="00EE0DC9">
        <w:rPr>
          <w:rFonts w:eastAsia="Times New Roman" w:cstheme="minorHAnsi"/>
          <w:b/>
          <w:bCs/>
          <w:lang w:eastAsia="en-GB"/>
        </w:rPr>
        <w:t>Would a management fee of</w:t>
      </w:r>
      <w:r w:rsidR="005C20C7">
        <w:rPr>
          <w:rFonts w:eastAsia="Times New Roman" w:cstheme="minorHAnsi"/>
          <w:b/>
          <w:bCs/>
          <w:lang w:eastAsia="en-GB"/>
        </w:rPr>
        <w:t>, for example,</w:t>
      </w:r>
      <w:r w:rsidRPr="00EE0DC9">
        <w:rPr>
          <w:rFonts w:eastAsia="Times New Roman" w:cstheme="minorHAnsi"/>
          <w:b/>
          <w:bCs/>
          <w:lang w:eastAsia="en-GB"/>
        </w:rPr>
        <w:t xml:space="preserve"> 7% for management and ad hoc additional support</w:t>
      </w:r>
      <w:r w:rsidR="005C20C7">
        <w:rPr>
          <w:rFonts w:eastAsia="Times New Roman" w:cstheme="minorHAnsi"/>
          <w:b/>
          <w:bCs/>
          <w:lang w:eastAsia="en-GB"/>
        </w:rPr>
        <w:t>,</w:t>
      </w:r>
      <w:r w:rsidRPr="00EE0DC9">
        <w:rPr>
          <w:rFonts w:eastAsia="Times New Roman" w:cstheme="minorHAnsi"/>
          <w:b/>
          <w:bCs/>
          <w:lang w:eastAsia="en-GB"/>
        </w:rPr>
        <w:t xml:space="preserve"> be </w:t>
      </w:r>
      <w:r w:rsidR="005C20C7">
        <w:rPr>
          <w:rFonts w:eastAsia="Times New Roman" w:cstheme="minorHAnsi"/>
          <w:b/>
          <w:bCs/>
          <w:lang w:eastAsia="en-GB"/>
        </w:rPr>
        <w:t xml:space="preserve">deemed </w:t>
      </w:r>
      <w:r w:rsidRPr="00EE0DC9">
        <w:rPr>
          <w:rFonts w:eastAsia="Times New Roman" w:cstheme="minorHAnsi"/>
          <w:b/>
          <w:bCs/>
          <w:lang w:eastAsia="en-GB"/>
        </w:rPr>
        <w:t xml:space="preserve">an eligible cost? </w:t>
      </w:r>
    </w:p>
    <w:p w14:paraId="0C0F7573" w14:textId="6589975C" w:rsidR="00016656" w:rsidRPr="00EE0DC9" w:rsidRDefault="00016656" w:rsidP="008F2BE0">
      <w:pPr>
        <w:spacing w:after="0"/>
        <w:rPr>
          <w:rFonts w:cstheme="minorHAnsi"/>
        </w:rPr>
      </w:pPr>
      <w:r w:rsidRPr="00EE0DC9">
        <w:rPr>
          <w:rFonts w:cstheme="minorHAnsi"/>
        </w:rPr>
        <w:t>We would expect to see management fees included within the cost of the programme.</w:t>
      </w:r>
    </w:p>
    <w:p w14:paraId="481971E7" w14:textId="77777777" w:rsidR="00016656" w:rsidRDefault="00016656" w:rsidP="008F2BE0">
      <w:pPr>
        <w:spacing w:after="0"/>
        <w:rPr>
          <w:rFonts w:cstheme="minorHAnsi"/>
        </w:rPr>
      </w:pPr>
      <w:r w:rsidRPr="00EE0DC9">
        <w:rPr>
          <w:rFonts w:cstheme="minorHAnsi"/>
        </w:rPr>
        <w:t>Additional support costs could be eligible, but the Combined Authority would need further information to confirm. It is recommended that applicants are as descriptive as possible about what and why they are being included in their applications.</w:t>
      </w:r>
    </w:p>
    <w:p w14:paraId="4F75E757" w14:textId="77777777" w:rsidR="00B819D0" w:rsidRDefault="00B819D0" w:rsidP="008F2BE0">
      <w:pPr>
        <w:spacing w:after="0"/>
        <w:rPr>
          <w:rFonts w:cstheme="minorHAnsi"/>
        </w:rPr>
      </w:pPr>
    </w:p>
    <w:p w14:paraId="230CBEAB" w14:textId="77777777" w:rsidR="00B819D0" w:rsidRPr="00B819D0" w:rsidRDefault="00B819D0" w:rsidP="00B819D0">
      <w:pPr>
        <w:spacing w:after="0" w:line="240" w:lineRule="auto"/>
        <w:rPr>
          <w:rFonts w:eastAsia="Times New Roman"/>
          <w:b/>
          <w:bCs/>
        </w:rPr>
      </w:pPr>
      <w:r w:rsidRPr="00B819D0">
        <w:rPr>
          <w:rFonts w:eastAsia="Times New Roman"/>
          <w:b/>
          <w:bCs/>
        </w:rPr>
        <w:t>Are providers able to include a profit contribution or management fee within their revenue and capital expenditure Annex A return?</w:t>
      </w:r>
    </w:p>
    <w:p w14:paraId="361CFAA9" w14:textId="77777777" w:rsidR="00B819D0" w:rsidRPr="00B819D0" w:rsidRDefault="00B819D0" w:rsidP="00B819D0">
      <w:pPr>
        <w:spacing w:after="0"/>
        <w:rPr>
          <w:rFonts w:cstheme="minorHAnsi"/>
        </w:rPr>
      </w:pPr>
      <w:r w:rsidRPr="00B819D0">
        <w:rPr>
          <w:rFonts w:cstheme="minorHAnsi"/>
        </w:rPr>
        <w:t>No, grant funded applications should not contain a profit contribution or management fee. Costs associated with the direct delivery of the project should be identified in the application submission.</w:t>
      </w:r>
    </w:p>
    <w:p w14:paraId="11945144" w14:textId="77777777" w:rsidR="00B819D0" w:rsidRDefault="00B819D0" w:rsidP="008F2BE0">
      <w:pPr>
        <w:spacing w:after="0"/>
        <w:rPr>
          <w:rFonts w:cstheme="minorHAnsi"/>
        </w:rPr>
      </w:pPr>
    </w:p>
    <w:p w14:paraId="64357FED" w14:textId="77777777" w:rsidR="00EE0DC9" w:rsidRPr="00EE0DC9" w:rsidRDefault="00EE0DC9" w:rsidP="008F2BE0">
      <w:pPr>
        <w:spacing w:after="0"/>
        <w:rPr>
          <w:rFonts w:cstheme="minorHAnsi"/>
        </w:rPr>
      </w:pPr>
    </w:p>
    <w:p w14:paraId="46337E02" w14:textId="1770549C" w:rsidR="00260058" w:rsidRPr="00260058" w:rsidRDefault="008C2051" w:rsidP="008F2BE0">
      <w:pPr>
        <w:spacing w:after="0"/>
        <w:rPr>
          <w:rFonts w:eastAsia="Times New Roman" w:cstheme="minorHAnsi"/>
          <w:b/>
          <w:bCs/>
          <w:color w:val="000000"/>
          <w:lang w:eastAsia="en-GB"/>
        </w:rPr>
      </w:pPr>
      <w:r w:rsidRPr="004351AD">
        <w:rPr>
          <w:rFonts w:eastAsia="Times New Roman" w:cstheme="minorHAnsi"/>
          <w:b/>
          <w:bCs/>
          <w:color w:val="000000"/>
          <w:lang w:eastAsia="en-GB"/>
        </w:rPr>
        <w:t>Please confirm which costs you expect the 15% FRIC to cover in this instance?</w:t>
      </w:r>
    </w:p>
    <w:p w14:paraId="38FCEDF7" w14:textId="2526B444" w:rsidR="004351AD" w:rsidRPr="008F5C85" w:rsidRDefault="00CD588F" w:rsidP="008F2BE0">
      <w:pPr>
        <w:spacing w:after="0"/>
        <w:rPr>
          <w:rFonts w:eastAsia="Times New Roman"/>
          <w:b/>
          <w:bCs/>
          <w:color w:val="000000" w:themeColor="text1"/>
          <w:lang w:eastAsia="en-GB"/>
        </w:rPr>
      </w:pPr>
      <w:r>
        <w:rPr>
          <w:rFonts w:eastAsia="Times New Roman"/>
          <w:color w:val="000000" w:themeColor="text1"/>
          <w:lang w:eastAsia="en-GB"/>
        </w:rPr>
        <w:t xml:space="preserve">FRIC </w:t>
      </w:r>
      <w:r w:rsidR="35F65672" w:rsidRPr="6E39EEEC">
        <w:rPr>
          <w:rFonts w:eastAsia="Times New Roman"/>
          <w:color w:val="000000" w:themeColor="text1"/>
          <w:lang w:eastAsia="en-GB"/>
        </w:rPr>
        <w:t>(flat</w:t>
      </w:r>
      <w:r w:rsidR="00186F8C">
        <w:rPr>
          <w:rFonts w:eastAsia="Times New Roman"/>
          <w:color w:val="000000" w:themeColor="text1"/>
          <w:lang w:eastAsia="en-GB"/>
        </w:rPr>
        <w:t xml:space="preserve"> </w:t>
      </w:r>
      <w:r w:rsidR="35F65672" w:rsidRPr="2F259206">
        <w:rPr>
          <w:rFonts w:eastAsia="Times New Roman"/>
          <w:color w:val="000000" w:themeColor="text1"/>
          <w:lang w:eastAsia="en-GB"/>
        </w:rPr>
        <w:t xml:space="preserve">rate indirect </w:t>
      </w:r>
      <w:r w:rsidR="35F65672" w:rsidRPr="6BDFAB47">
        <w:rPr>
          <w:rFonts w:eastAsia="Times New Roman"/>
          <w:color w:val="000000" w:themeColor="text1"/>
          <w:lang w:eastAsia="en-GB"/>
        </w:rPr>
        <w:t>costs)</w:t>
      </w:r>
      <w:r w:rsidR="004351AD" w:rsidRPr="2F259206">
        <w:rPr>
          <w:rFonts w:eastAsia="Times New Roman"/>
          <w:color w:val="000000" w:themeColor="text1"/>
          <w:lang w:eastAsia="en-GB"/>
        </w:rPr>
        <w:t xml:space="preserve"> </w:t>
      </w:r>
      <w:r>
        <w:rPr>
          <w:rFonts w:eastAsia="Times New Roman"/>
          <w:color w:val="000000" w:themeColor="text1"/>
          <w:lang w:eastAsia="en-GB"/>
        </w:rPr>
        <w:t xml:space="preserve">or ‘overheads’ are the only </w:t>
      </w:r>
      <w:r w:rsidR="004351AD" w:rsidRPr="48D63E1D">
        <w:rPr>
          <w:rFonts w:eastAsia="Times New Roman"/>
          <w:color w:val="000000" w:themeColor="text1"/>
          <w:lang w:eastAsia="en-GB"/>
        </w:rPr>
        <w:t>item</w:t>
      </w:r>
      <w:r w:rsidR="54ADEF20" w:rsidRPr="48D63E1D">
        <w:rPr>
          <w:rFonts w:eastAsia="Times New Roman"/>
          <w:color w:val="000000" w:themeColor="text1"/>
          <w:lang w:eastAsia="en-GB"/>
        </w:rPr>
        <w:t>s</w:t>
      </w:r>
      <w:r w:rsidR="004351AD" w:rsidRPr="48D63E1D">
        <w:rPr>
          <w:rFonts w:eastAsia="Times New Roman"/>
          <w:color w:val="000000" w:themeColor="text1"/>
          <w:lang w:eastAsia="en-GB"/>
        </w:rPr>
        <w:t xml:space="preserve"> </w:t>
      </w:r>
      <w:r w:rsidR="007E11CE">
        <w:rPr>
          <w:rFonts w:eastAsia="Times New Roman"/>
          <w:color w:val="000000" w:themeColor="text1"/>
          <w:lang w:eastAsia="en-GB"/>
        </w:rPr>
        <w:t>which LCRCA</w:t>
      </w:r>
      <w:r>
        <w:rPr>
          <w:rFonts w:eastAsia="Times New Roman"/>
          <w:color w:val="000000" w:themeColor="text1"/>
          <w:lang w:eastAsia="en-GB"/>
        </w:rPr>
        <w:t xml:space="preserve"> won’t </w:t>
      </w:r>
      <w:r w:rsidR="0612B923" w:rsidRPr="48D63E1D">
        <w:rPr>
          <w:rFonts w:eastAsia="Times New Roman"/>
          <w:color w:val="000000" w:themeColor="text1"/>
          <w:lang w:eastAsia="en-GB"/>
        </w:rPr>
        <w:t xml:space="preserve">require supporting </w:t>
      </w:r>
      <w:r w:rsidRPr="48D63E1D">
        <w:rPr>
          <w:rFonts w:eastAsia="Times New Roman"/>
          <w:color w:val="000000" w:themeColor="text1"/>
          <w:lang w:eastAsia="en-GB"/>
        </w:rPr>
        <w:t>evidence for</w:t>
      </w:r>
      <w:r w:rsidR="42225B95" w:rsidRPr="48D63E1D">
        <w:rPr>
          <w:rFonts w:eastAsia="Times New Roman"/>
          <w:color w:val="000000" w:themeColor="text1"/>
          <w:lang w:eastAsia="en-GB"/>
        </w:rPr>
        <w:t>.</w:t>
      </w:r>
      <w:r w:rsidR="1066098D" w:rsidRPr="48D63E1D">
        <w:rPr>
          <w:rFonts w:eastAsia="Times New Roman"/>
          <w:color w:val="000000" w:themeColor="text1"/>
          <w:lang w:eastAsia="en-GB"/>
        </w:rPr>
        <w:t xml:space="preserve">  A flat</w:t>
      </w:r>
      <w:r w:rsidR="00186F8C">
        <w:rPr>
          <w:rFonts w:eastAsia="Times New Roman"/>
          <w:color w:val="000000" w:themeColor="text1"/>
          <w:lang w:eastAsia="en-GB"/>
        </w:rPr>
        <w:t xml:space="preserve"> </w:t>
      </w:r>
      <w:r w:rsidR="3C45CA44" w:rsidRPr="48D63E1D">
        <w:rPr>
          <w:rFonts w:eastAsia="Times New Roman"/>
          <w:color w:val="000000" w:themeColor="text1"/>
          <w:lang w:eastAsia="en-GB"/>
        </w:rPr>
        <w:t>rate of</w:t>
      </w:r>
      <w:r>
        <w:rPr>
          <w:rFonts w:eastAsia="Times New Roman"/>
          <w:color w:val="000000" w:themeColor="text1"/>
          <w:lang w:eastAsia="en-GB"/>
        </w:rPr>
        <w:t xml:space="preserve"> 15%</w:t>
      </w:r>
      <w:r w:rsidR="004351AD" w:rsidRPr="48D63E1D">
        <w:rPr>
          <w:rFonts w:eastAsia="Times New Roman"/>
          <w:color w:val="000000" w:themeColor="text1"/>
          <w:lang w:eastAsia="en-GB"/>
        </w:rPr>
        <w:t xml:space="preserve"> </w:t>
      </w:r>
      <w:r w:rsidR="5CD298A1" w:rsidRPr="48D63E1D">
        <w:rPr>
          <w:rFonts w:eastAsia="Times New Roman"/>
          <w:color w:val="000000" w:themeColor="text1"/>
          <w:lang w:eastAsia="en-GB"/>
        </w:rPr>
        <w:t>of eligi</w:t>
      </w:r>
      <w:r w:rsidR="48286AFD" w:rsidRPr="48D63E1D">
        <w:rPr>
          <w:rFonts w:eastAsia="Times New Roman"/>
          <w:color w:val="000000" w:themeColor="text1"/>
          <w:lang w:eastAsia="en-GB"/>
        </w:rPr>
        <w:t>bl</w:t>
      </w:r>
      <w:r w:rsidR="5CD298A1" w:rsidRPr="48D63E1D">
        <w:rPr>
          <w:rFonts w:eastAsia="Times New Roman"/>
          <w:color w:val="000000" w:themeColor="text1"/>
          <w:lang w:eastAsia="en-GB"/>
        </w:rPr>
        <w:t>e direct staff costs</w:t>
      </w:r>
      <w:r w:rsidR="66A7A759" w:rsidRPr="48D63E1D">
        <w:rPr>
          <w:rFonts w:eastAsia="Times New Roman"/>
          <w:color w:val="000000" w:themeColor="text1"/>
          <w:lang w:eastAsia="en-GB"/>
        </w:rPr>
        <w:t xml:space="preserve"> </w:t>
      </w:r>
      <w:r w:rsidR="60A75D38" w:rsidRPr="48D63E1D">
        <w:rPr>
          <w:rFonts w:eastAsia="Times New Roman"/>
          <w:color w:val="000000" w:themeColor="text1"/>
          <w:lang w:eastAsia="en-GB"/>
        </w:rPr>
        <w:t>can be claim</w:t>
      </w:r>
      <w:r w:rsidR="54EDC5A8" w:rsidRPr="48D63E1D">
        <w:rPr>
          <w:rFonts w:eastAsia="Times New Roman"/>
          <w:color w:val="000000" w:themeColor="text1"/>
          <w:lang w:eastAsia="en-GB"/>
        </w:rPr>
        <w:t xml:space="preserve">ed </w:t>
      </w:r>
      <w:r w:rsidR="1A8A26CE" w:rsidRPr="48D63E1D">
        <w:rPr>
          <w:rFonts w:eastAsia="Times New Roman"/>
          <w:color w:val="000000" w:themeColor="text1"/>
          <w:lang w:eastAsia="en-GB"/>
        </w:rPr>
        <w:t xml:space="preserve">by projects </w:t>
      </w:r>
      <w:r w:rsidR="54EDC5A8" w:rsidRPr="48D63E1D">
        <w:rPr>
          <w:rFonts w:eastAsia="Times New Roman"/>
          <w:color w:val="000000" w:themeColor="text1"/>
          <w:lang w:eastAsia="en-GB"/>
        </w:rPr>
        <w:t xml:space="preserve">to cover indirect eligible costs which </w:t>
      </w:r>
      <w:r w:rsidR="6EB2B93E" w:rsidRPr="48D63E1D">
        <w:rPr>
          <w:rFonts w:eastAsia="Times New Roman"/>
          <w:color w:val="000000" w:themeColor="text1"/>
          <w:lang w:eastAsia="en-GB"/>
        </w:rPr>
        <w:t xml:space="preserve">cannot be </w:t>
      </w:r>
      <w:r w:rsidR="7521FAC2" w:rsidRPr="48D63E1D">
        <w:rPr>
          <w:rFonts w:eastAsia="Times New Roman"/>
          <w:color w:val="000000" w:themeColor="text1"/>
          <w:lang w:eastAsia="en-GB"/>
        </w:rPr>
        <w:t>directly</w:t>
      </w:r>
      <w:r w:rsidR="6EB2B93E" w:rsidRPr="48D63E1D">
        <w:rPr>
          <w:rFonts w:eastAsia="Times New Roman"/>
          <w:color w:val="000000" w:themeColor="text1"/>
          <w:lang w:eastAsia="en-GB"/>
        </w:rPr>
        <w:t xml:space="preserve"> linked to project activity because it is difficult, or impossible to quantify a precise amount attributable solely to a single project</w:t>
      </w:r>
      <w:r w:rsidR="5B5D072C" w:rsidRPr="48D63E1D">
        <w:rPr>
          <w:rFonts w:eastAsia="Times New Roman"/>
          <w:color w:val="000000" w:themeColor="text1"/>
          <w:lang w:eastAsia="en-GB"/>
        </w:rPr>
        <w:t>:</w:t>
      </w:r>
    </w:p>
    <w:p w14:paraId="7F13015D" w14:textId="037CE24A" w:rsidR="004351AD" w:rsidRPr="008F5C85" w:rsidRDefault="5B5D072C" w:rsidP="008F2BE0">
      <w:pPr>
        <w:spacing w:after="0"/>
        <w:rPr>
          <w:rFonts w:eastAsia="Times New Roman"/>
          <w:color w:val="000000" w:themeColor="text1"/>
          <w:lang w:eastAsia="en-GB"/>
        </w:rPr>
      </w:pPr>
      <w:r w:rsidRPr="48D63E1D">
        <w:rPr>
          <w:rFonts w:eastAsia="Times New Roman"/>
          <w:color w:val="000000" w:themeColor="text1"/>
          <w:lang w:eastAsia="en-GB"/>
        </w:rPr>
        <w:t xml:space="preserve">Examples may </w:t>
      </w:r>
      <w:r w:rsidR="00CD588F" w:rsidRPr="48D63E1D">
        <w:rPr>
          <w:rFonts w:eastAsia="Times New Roman"/>
          <w:color w:val="000000" w:themeColor="text1"/>
          <w:lang w:eastAsia="en-GB"/>
        </w:rPr>
        <w:t>include</w:t>
      </w:r>
      <w:r w:rsidRPr="48D63E1D">
        <w:rPr>
          <w:rFonts w:eastAsia="Times New Roman"/>
          <w:color w:val="000000" w:themeColor="text1"/>
          <w:lang w:eastAsia="en-GB"/>
        </w:rPr>
        <w:t xml:space="preserve"> premises costs, accountancy costs, utility charges, telephone costs, cleaning and staff costs for </w:t>
      </w:r>
      <w:r w:rsidR="4E92F4EE" w:rsidRPr="48D63E1D">
        <w:rPr>
          <w:rFonts w:eastAsia="Times New Roman"/>
          <w:color w:val="000000" w:themeColor="text1"/>
          <w:lang w:eastAsia="en-GB"/>
        </w:rPr>
        <w:t>people working indirectly on the projec</w:t>
      </w:r>
      <w:r w:rsidR="04368537" w:rsidRPr="48D63E1D">
        <w:rPr>
          <w:rFonts w:eastAsia="Times New Roman"/>
          <w:color w:val="000000" w:themeColor="text1"/>
          <w:lang w:eastAsia="en-GB"/>
        </w:rPr>
        <w:t>t.</w:t>
      </w:r>
    </w:p>
    <w:p w14:paraId="08A522F9" w14:textId="77777777" w:rsidR="00AC2F8F" w:rsidRDefault="00AC2F8F" w:rsidP="008F2BE0">
      <w:pPr>
        <w:spacing w:after="0"/>
        <w:rPr>
          <w:rFonts w:eastAsia="Times New Roman" w:cstheme="minorHAnsi"/>
          <w:color w:val="000000"/>
          <w:lang w:eastAsia="en-GB"/>
        </w:rPr>
      </w:pPr>
    </w:p>
    <w:p w14:paraId="5E236AAB" w14:textId="106EE072" w:rsidR="008C2051" w:rsidRPr="00AC2F8F" w:rsidRDefault="008C2051" w:rsidP="008F2BE0">
      <w:pPr>
        <w:spacing w:after="0"/>
        <w:rPr>
          <w:rFonts w:eastAsia="Times New Roman" w:cstheme="minorHAnsi"/>
          <w:color w:val="000000"/>
          <w:lang w:eastAsia="en-GB"/>
        </w:rPr>
      </w:pPr>
      <w:r w:rsidRPr="00AC2F8F">
        <w:rPr>
          <w:rFonts w:eastAsia="Times New Roman" w:cstheme="minorHAnsi"/>
          <w:b/>
          <w:bCs/>
          <w:color w:val="000000"/>
          <w:lang w:eastAsia="en-GB"/>
        </w:rPr>
        <w:t>Please confirm if you will require defrayal for every item of expenditure.</w:t>
      </w:r>
    </w:p>
    <w:p w14:paraId="0FC00B2C" w14:textId="11A1595C" w:rsidR="008C2051" w:rsidRPr="00AC2F8F" w:rsidRDefault="008C2051" w:rsidP="008F2BE0">
      <w:pPr>
        <w:spacing w:after="0"/>
        <w:rPr>
          <w:rFonts w:cstheme="minorHAnsi"/>
        </w:rPr>
      </w:pPr>
      <w:r w:rsidRPr="00AC2F8F">
        <w:rPr>
          <w:rFonts w:cstheme="minorHAnsi"/>
        </w:rPr>
        <w:t>Defrayal will be required for every item of expenditure</w:t>
      </w:r>
      <w:r w:rsidR="00547D6C">
        <w:rPr>
          <w:rFonts w:cstheme="minorHAnsi"/>
        </w:rPr>
        <w:t xml:space="preserve"> unless it is already included within the FRIC costs</w:t>
      </w:r>
      <w:r w:rsidRPr="00AC2F8F">
        <w:rPr>
          <w:rFonts w:cstheme="minorHAnsi"/>
        </w:rPr>
        <w:t>.</w:t>
      </w:r>
    </w:p>
    <w:p w14:paraId="6C768A05" w14:textId="77777777" w:rsidR="00AC2F8F" w:rsidRDefault="00AC2F8F" w:rsidP="008F2BE0">
      <w:pPr>
        <w:spacing w:after="0"/>
        <w:rPr>
          <w:rStyle w:val="ui-provider"/>
          <w:rFonts w:cstheme="minorHAnsi"/>
          <w:b/>
          <w:bCs/>
        </w:rPr>
      </w:pPr>
    </w:p>
    <w:p w14:paraId="108093A3" w14:textId="6618CFB5" w:rsidR="005B7C24" w:rsidRPr="006325D0" w:rsidRDefault="005B7C24" w:rsidP="008F2BE0">
      <w:pPr>
        <w:spacing w:after="0"/>
        <w:rPr>
          <w:rFonts w:eastAsia="Times New Roman" w:cstheme="minorHAnsi"/>
          <w:b/>
          <w:bCs/>
          <w:color w:val="000000"/>
          <w:lang w:eastAsia="en-GB"/>
        </w:rPr>
      </w:pPr>
      <w:r w:rsidRPr="006325D0">
        <w:rPr>
          <w:rFonts w:eastAsia="Times New Roman" w:cstheme="minorHAnsi"/>
          <w:b/>
          <w:bCs/>
          <w:color w:val="000000"/>
          <w:lang w:eastAsia="en-GB"/>
        </w:rPr>
        <w:t xml:space="preserve">Is there a list of eligible costs/expenditure that can be shared with bidders? For </w:t>
      </w:r>
      <w:r w:rsidR="00A05F26" w:rsidRPr="006325D0">
        <w:rPr>
          <w:rFonts w:eastAsia="Times New Roman" w:cstheme="minorHAnsi"/>
          <w:b/>
          <w:bCs/>
          <w:color w:val="000000"/>
          <w:lang w:eastAsia="en-GB"/>
        </w:rPr>
        <w:t>example,</w:t>
      </w:r>
      <w:r w:rsidRPr="006325D0">
        <w:rPr>
          <w:rFonts w:eastAsia="Times New Roman" w:cstheme="minorHAnsi"/>
          <w:b/>
          <w:bCs/>
          <w:color w:val="000000"/>
          <w:lang w:eastAsia="en-GB"/>
        </w:rPr>
        <w:t xml:space="preserve"> are premises costs eligible?</w:t>
      </w:r>
    </w:p>
    <w:p w14:paraId="24BAAAA9" w14:textId="7C382A5E" w:rsidR="00BE7179" w:rsidRDefault="005B7C24" w:rsidP="008F2BE0">
      <w:pPr>
        <w:spacing w:after="0"/>
        <w:rPr>
          <w:rFonts w:eastAsia="Times New Roman" w:cstheme="minorHAnsi"/>
          <w:color w:val="000000"/>
          <w:lang w:eastAsia="en-GB"/>
        </w:rPr>
      </w:pPr>
      <w:r w:rsidRPr="00BE7179">
        <w:rPr>
          <w:rFonts w:eastAsia="Times New Roman" w:cstheme="minorHAnsi"/>
          <w:color w:val="000000"/>
          <w:lang w:eastAsia="en-GB"/>
        </w:rPr>
        <w:t xml:space="preserve">Costs/expenditure are eligible where the activity fits within the scope of a specific call for projects. We don’t maintain an exhaustive list of eligible revenue </w:t>
      </w:r>
      <w:r w:rsidR="00CD588F" w:rsidRPr="00BE7179">
        <w:rPr>
          <w:rFonts w:eastAsia="Times New Roman" w:cstheme="minorHAnsi"/>
          <w:color w:val="000000"/>
          <w:lang w:eastAsia="en-GB"/>
        </w:rPr>
        <w:t>costs,</w:t>
      </w:r>
      <w:r w:rsidRPr="00BE7179">
        <w:rPr>
          <w:rFonts w:eastAsia="Times New Roman" w:cstheme="minorHAnsi"/>
          <w:color w:val="000000"/>
          <w:lang w:eastAsia="en-GB"/>
        </w:rPr>
        <w:t xml:space="preserve"> </w:t>
      </w:r>
      <w:r w:rsidR="00BE7179" w:rsidRPr="00BE7179">
        <w:rPr>
          <w:rFonts w:eastAsia="Times New Roman" w:cstheme="minorHAnsi"/>
          <w:color w:val="000000"/>
          <w:lang w:eastAsia="en-GB"/>
        </w:rPr>
        <w:t xml:space="preserve">but they </w:t>
      </w:r>
      <w:r w:rsidRPr="00BE7179">
        <w:rPr>
          <w:rFonts w:eastAsia="Times New Roman" w:cstheme="minorHAnsi"/>
          <w:color w:val="000000"/>
          <w:lang w:eastAsia="en-GB"/>
        </w:rPr>
        <w:t>should generally fit within the following expenditure headings:</w:t>
      </w:r>
      <w:r w:rsidRPr="00BE7179">
        <w:rPr>
          <w:rFonts w:eastAsia="Times New Roman" w:cstheme="minorHAnsi"/>
          <w:color w:val="000000"/>
          <w:lang w:eastAsia="en-GB"/>
        </w:rPr>
        <w:br/>
      </w:r>
    </w:p>
    <w:p w14:paraId="1BC96FA4" w14:textId="77777777" w:rsidR="009145D2" w:rsidRDefault="005B7C24" w:rsidP="008F2BE0">
      <w:pPr>
        <w:pStyle w:val="ListParagraph"/>
        <w:numPr>
          <w:ilvl w:val="0"/>
          <w:numId w:val="29"/>
        </w:numPr>
        <w:spacing w:after="0"/>
        <w:rPr>
          <w:rFonts w:eastAsia="Times New Roman" w:cstheme="minorHAnsi"/>
          <w:color w:val="000000"/>
          <w:lang w:eastAsia="en-GB"/>
        </w:rPr>
      </w:pPr>
      <w:r w:rsidRPr="00BE7179">
        <w:rPr>
          <w:rFonts w:eastAsia="Times New Roman" w:cstheme="minorHAnsi"/>
          <w:color w:val="000000"/>
          <w:lang w:eastAsia="en-GB"/>
        </w:rPr>
        <w:t>Salaries: This includes salaries and on costs of staff directly involved in the delivery of project activity. This includes staff who work 100% of their time on project activity, or part of their time with all hours, including the time spent working on the project, recorded on suitable timesheets (we can provide a template). All staff funded by UKSPF must be able to demonstrate how an individual’s activity directly links to the aims and objectives of the project. Consultants/those secured as contractors through a procurement exercise would be a direct cost (as a fee) not a staff cost.</w:t>
      </w:r>
    </w:p>
    <w:p w14:paraId="0B76BE17" w14:textId="77777777" w:rsidR="009145D2" w:rsidRDefault="005B7C24" w:rsidP="008F2BE0">
      <w:pPr>
        <w:pStyle w:val="ListParagraph"/>
        <w:numPr>
          <w:ilvl w:val="0"/>
          <w:numId w:val="29"/>
        </w:numPr>
        <w:spacing w:after="0"/>
        <w:rPr>
          <w:rFonts w:eastAsia="Times New Roman" w:cstheme="minorHAnsi"/>
          <w:color w:val="000000"/>
          <w:lang w:eastAsia="en-GB"/>
        </w:rPr>
      </w:pPr>
      <w:r w:rsidRPr="00BE7179">
        <w:rPr>
          <w:rFonts w:eastAsia="Times New Roman" w:cstheme="minorHAnsi"/>
          <w:color w:val="000000"/>
          <w:lang w:eastAsia="en-GB"/>
        </w:rPr>
        <w:t>Flat Rate Indirect Costs</w:t>
      </w:r>
    </w:p>
    <w:p w14:paraId="6B8269EB" w14:textId="77777777" w:rsidR="009145D2" w:rsidRDefault="005B7C24" w:rsidP="008F2BE0">
      <w:pPr>
        <w:pStyle w:val="ListParagraph"/>
        <w:numPr>
          <w:ilvl w:val="0"/>
          <w:numId w:val="29"/>
        </w:numPr>
        <w:spacing w:after="0"/>
        <w:rPr>
          <w:rFonts w:eastAsia="Times New Roman" w:cstheme="minorHAnsi"/>
          <w:color w:val="000000"/>
          <w:lang w:eastAsia="en-GB"/>
        </w:rPr>
      </w:pPr>
      <w:r w:rsidRPr="00BE7179">
        <w:rPr>
          <w:rFonts w:eastAsia="Times New Roman" w:cstheme="minorHAnsi"/>
          <w:color w:val="000000"/>
          <w:lang w:eastAsia="en-GB"/>
        </w:rPr>
        <w:t>Travel &amp; Expenses</w:t>
      </w:r>
    </w:p>
    <w:p w14:paraId="0E88EAA1" w14:textId="77777777" w:rsidR="002D3745" w:rsidRDefault="005B7C24" w:rsidP="008F2BE0">
      <w:pPr>
        <w:pStyle w:val="ListParagraph"/>
        <w:numPr>
          <w:ilvl w:val="0"/>
          <w:numId w:val="29"/>
        </w:numPr>
        <w:spacing w:after="0"/>
        <w:rPr>
          <w:rFonts w:eastAsia="Times New Roman" w:cstheme="minorHAnsi"/>
          <w:color w:val="000000"/>
          <w:lang w:eastAsia="en-GB"/>
        </w:rPr>
      </w:pPr>
      <w:r w:rsidRPr="00BE7179">
        <w:rPr>
          <w:rFonts w:eastAsia="Times New Roman" w:cstheme="minorHAnsi"/>
          <w:color w:val="000000"/>
          <w:lang w:eastAsia="en-GB"/>
        </w:rPr>
        <w:t xml:space="preserve">Accommodation Costs - Accommodation costs such as rent or rates that can be directly attributed to the project. For example, if building is used solely for the purposes of the </w:t>
      </w:r>
      <w:r w:rsidR="00A05F26" w:rsidRPr="00BE7179">
        <w:rPr>
          <w:rFonts w:eastAsia="Times New Roman" w:cstheme="minorHAnsi"/>
          <w:color w:val="000000"/>
          <w:lang w:eastAsia="en-GB"/>
        </w:rPr>
        <w:t>project,</w:t>
      </w:r>
      <w:r w:rsidRPr="00BE7179">
        <w:rPr>
          <w:rFonts w:eastAsia="Times New Roman" w:cstheme="minorHAnsi"/>
          <w:color w:val="000000"/>
          <w:lang w:eastAsia="en-GB"/>
        </w:rPr>
        <w:t xml:space="preserve"> then the rent and rates for that building can be included in the project budget.  If costs need to be apportioned, then they should be covered by the flat rate indirect cost. </w:t>
      </w:r>
    </w:p>
    <w:p w14:paraId="7EE4CB93" w14:textId="77777777" w:rsidR="002D3745" w:rsidRDefault="005B7C24" w:rsidP="008F2BE0">
      <w:pPr>
        <w:pStyle w:val="ListParagraph"/>
        <w:numPr>
          <w:ilvl w:val="0"/>
          <w:numId w:val="29"/>
        </w:numPr>
        <w:spacing w:after="0"/>
        <w:rPr>
          <w:rFonts w:eastAsia="Times New Roman" w:cstheme="minorHAnsi"/>
          <w:color w:val="000000"/>
          <w:lang w:eastAsia="en-GB"/>
        </w:rPr>
      </w:pPr>
      <w:r w:rsidRPr="00BE7179">
        <w:rPr>
          <w:rFonts w:eastAsia="Times New Roman" w:cstheme="minorHAnsi"/>
          <w:color w:val="000000"/>
          <w:lang w:eastAsia="en-GB"/>
        </w:rPr>
        <w:t>Grants</w:t>
      </w:r>
    </w:p>
    <w:p w14:paraId="64CBE90F" w14:textId="77777777" w:rsidR="002D3745" w:rsidRDefault="005B7C24" w:rsidP="008F2BE0">
      <w:pPr>
        <w:pStyle w:val="ListParagraph"/>
        <w:numPr>
          <w:ilvl w:val="0"/>
          <w:numId w:val="29"/>
        </w:numPr>
        <w:spacing w:after="0"/>
        <w:rPr>
          <w:rFonts w:eastAsia="Times New Roman" w:cstheme="minorHAnsi"/>
          <w:color w:val="000000"/>
          <w:lang w:eastAsia="en-GB"/>
        </w:rPr>
      </w:pPr>
      <w:r w:rsidRPr="00BE7179">
        <w:rPr>
          <w:rFonts w:eastAsia="Times New Roman" w:cstheme="minorHAnsi"/>
          <w:color w:val="000000"/>
          <w:lang w:eastAsia="en-GB"/>
        </w:rPr>
        <w:t>Materials &amp; Consumables</w:t>
      </w:r>
    </w:p>
    <w:p w14:paraId="38681501" w14:textId="77777777" w:rsidR="002D3745" w:rsidRDefault="005B7C24" w:rsidP="008F2BE0">
      <w:pPr>
        <w:pStyle w:val="ListParagraph"/>
        <w:numPr>
          <w:ilvl w:val="0"/>
          <w:numId w:val="29"/>
        </w:numPr>
        <w:spacing w:after="0"/>
        <w:rPr>
          <w:rFonts w:eastAsia="Times New Roman" w:cstheme="minorHAnsi"/>
          <w:color w:val="000000"/>
          <w:lang w:eastAsia="en-GB"/>
        </w:rPr>
      </w:pPr>
      <w:r w:rsidRPr="00BE7179">
        <w:rPr>
          <w:rFonts w:eastAsia="Times New Roman" w:cstheme="minorHAnsi"/>
          <w:color w:val="000000"/>
          <w:lang w:eastAsia="en-GB"/>
        </w:rPr>
        <w:t xml:space="preserve">Training, Marketing &amp; promotion, consultancy, Evaluation, </w:t>
      </w:r>
    </w:p>
    <w:p w14:paraId="2FAC830C" w14:textId="7DB8DFA1" w:rsidR="005B7C24" w:rsidRPr="00BE7179" w:rsidRDefault="005B7C24" w:rsidP="008F2BE0">
      <w:pPr>
        <w:pStyle w:val="ListParagraph"/>
        <w:numPr>
          <w:ilvl w:val="0"/>
          <w:numId w:val="29"/>
        </w:numPr>
        <w:spacing w:after="0"/>
        <w:rPr>
          <w:rFonts w:eastAsia="Times New Roman" w:cstheme="minorHAnsi"/>
          <w:color w:val="000000"/>
          <w:lang w:eastAsia="en-GB"/>
        </w:rPr>
      </w:pPr>
      <w:r w:rsidRPr="00BE7179">
        <w:rPr>
          <w:rFonts w:eastAsia="Times New Roman" w:cstheme="minorHAnsi"/>
          <w:color w:val="000000"/>
          <w:lang w:eastAsia="en-GB"/>
        </w:rPr>
        <w:t>Other Revenue</w:t>
      </w:r>
    </w:p>
    <w:p w14:paraId="2AF75CBF" w14:textId="77777777" w:rsidR="006325D0" w:rsidRDefault="006325D0" w:rsidP="008F2BE0">
      <w:pPr>
        <w:spacing w:after="0"/>
        <w:rPr>
          <w:rFonts w:eastAsia="Times New Roman" w:cstheme="minorHAnsi"/>
          <w:b/>
          <w:bCs/>
          <w:color w:val="000000"/>
          <w:lang w:eastAsia="en-GB"/>
        </w:rPr>
      </w:pPr>
    </w:p>
    <w:p w14:paraId="04511CDC" w14:textId="527711B1" w:rsidR="00641C6E" w:rsidRPr="008F5C85" w:rsidRDefault="00641C6E" w:rsidP="008F2BE0">
      <w:pPr>
        <w:spacing w:after="0"/>
        <w:rPr>
          <w:rFonts w:eastAsia="Times New Roman" w:cstheme="minorHAnsi"/>
          <w:color w:val="000000"/>
          <w:lang w:eastAsia="en-GB"/>
        </w:rPr>
      </w:pPr>
      <w:r w:rsidRPr="006325D0">
        <w:rPr>
          <w:rFonts w:eastAsia="Times New Roman" w:cstheme="minorHAnsi"/>
          <w:b/>
          <w:bCs/>
          <w:color w:val="000000"/>
          <w:lang w:eastAsia="en-GB"/>
        </w:rPr>
        <w:t>Please can the Authority clarify what evidence of project costs is required for the quarterly instalments of payments? I</w:t>
      </w:r>
      <w:r w:rsidR="002D3745">
        <w:rPr>
          <w:rFonts w:eastAsia="Times New Roman" w:cstheme="minorHAnsi"/>
          <w:b/>
          <w:bCs/>
          <w:color w:val="000000"/>
          <w:lang w:eastAsia="en-GB"/>
        </w:rPr>
        <w:t>n</w:t>
      </w:r>
      <w:r w:rsidRPr="006325D0">
        <w:rPr>
          <w:rFonts w:eastAsia="Times New Roman" w:cstheme="minorHAnsi"/>
          <w:b/>
          <w:bCs/>
          <w:color w:val="000000"/>
          <w:lang w:eastAsia="en-GB"/>
        </w:rPr>
        <w:t xml:space="preserve"> Appendix C</w:t>
      </w:r>
      <w:r w:rsidR="002D3745">
        <w:rPr>
          <w:rFonts w:eastAsia="Times New Roman" w:cstheme="minorHAnsi"/>
          <w:b/>
          <w:bCs/>
          <w:color w:val="000000"/>
          <w:lang w:eastAsia="en-GB"/>
        </w:rPr>
        <w:t>:</w:t>
      </w:r>
      <w:r w:rsidRPr="006325D0">
        <w:rPr>
          <w:rFonts w:eastAsia="Times New Roman" w:cstheme="minorHAnsi"/>
          <w:b/>
          <w:bCs/>
          <w:color w:val="000000"/>
          <w:lang w:eastAsia="en-GB"/>
        </w:rPr>
        <w:t xml:space="preserve"> LCR Terms &amp; Conditions indicates that “The Grant shall be paid by LCRCA to the Recipient in quarterly instalments in arrears following by submission by the Recipient to LCRCA of evidence that Project costs have been defrayed up to the value of the instalment.”</w:t>
      </w:r>
      <w:r w:rsidRPr="008F5C85">
        <w:rPr>
          <w:rFonts w:eastAsia="Times New Roman" w:cstheme="minorHAnsi"/>
          <w:color w:val="000000"/>
          <w:lang w:eastAsia="en-GB"/>
        </w:rPr>
        <w:t xml:space="preserve"> </w:t>
      </w:r>
    </w:p>
    <w:p w14:paraId="25CFFF5D" w14:textId="77777777" w:rsidR="002E1EDA" w:rsidRDefault="00641C6E" w:rsidP="008F2BE0">
      <w:pPr>
        <w:spacing w:after="0"/>
        <w:rPr>
          <w:rFonts w:eastAsia="Times New Roman" w:cstheme="minorHAnsi"/>
          <w:color w:val="000000"/>
          <w:lang w:eastAsia="en-GB"/>
        </w:rPr>
      </w:pPr>
      <w:r w:rsidRPr="006325D0">
        <w:rPr>
          <w:rFonts w:eastAsia="Times New Roman" w:cstheme="minorHAnsi"/>
          <w:color w:val="000000"/>
          <w:lang w:eastAsia="en-GB"/>
        </w:rPr>
        <w:t xml:space="preserve">We would require the following: </w:t>
      </w:r>
    </w:p>
    <w:p w14:paraId="50B34372" w14:textId="4597C2D1" w:rsidR="002E1EDA" w:rsidRPr="00223898" w:rsidRDefault="00641C6E" w:rsidP="008F2BE0">
      <w:pPr>
        <w:pStyle w:val="ListParagraph"/>
        <w:numPr>
          <w:ilvl w:val="0"/>
          <w:numId w:val="26"/>
        </w:numPr>
        <w:spacing w:after="0"/>
        <w:rPr>
          <w:rFonts w:eastAsia="Times New Roman" w:cstheme="minorHAnsi"/>
          <w:b/>
          <w:bCs/>
          <w:color w:val="000000"/>
          <w:lang w:eastAsia="en-GB"/>
        </w:rPr>
      </w:pPr>
      <w:r w:rsidRPr="002E1EDA">
        <w:rPr>
          <w:rFonts w:eastAsia="Times New Roman" w:cstheme="minorHAnsi"/>
          <w:color w:val="000000"/>
          <w:lang w:eastAsia="en-GB"/>
        </w:rPr>
        <w:t xml:space="preserve">Evidence of procurement (direct award, three quotes, tender etc. dependent on thresholds) </w:t>
      </w:r>
    </w:p>
    <w:p w14:paraId="55BA4CE5" w14:textId="14BB8677" w:rsidR="002E1EDA" w:rsidRPr="00223898" w:rsidRDefault="00641C6E" w:rsidP="008F2BE0">
      <w:pPr>
        <w:pStyle w:val="ListParagraph"/>
        <w:numPr>
          <w:ilvl w:val="0"/>
          <w:numId w:val="26"/>
        </w:numPr>
        <w:spacing w:after="0"/>
        <w:rPr>
          <w:rFonts w:eastAsia="Times New Roman" w:cstheme="minorHAnsi"/>
          <w:b/>
          <w:bCs/>
          <w:color w:val="000000"/>
          <w:lang w:eastAsia="en-GB"/>
        </w:rPr>
      </w:pPr>
      <w:r w:rsidRPr="002E1EDA">
        <w:rPr>
          <w:rFonts w:eastAsia="Times New Roman" w:cstheme="minorHAnsi"/>
          <w:color w:val="000000"/>
          <w:lang w:eastAsia="en-GB"/>
        </w:rPr>
        <w:t xml:space="preserve">Invoice </w:t>
      </w:r>
    </w:p>
    <w:p w14:paraId="36CCC710" w14:textId="05AEEF00" w:rsidR="00641C6E" w:rsidRPr="002E1EDA" w:rsidRDefault="00641C6E" w:rsidP="008F2BE0">
      <w:pPr>
        <w:pStyle w:val="ListParagraph"/>
        <w:numPr>
          <w:ilvl w:val="0"/>
          <w:numId w:val="26"/>
        </w:numPr>
        <w:spacing w:after="0"/>
        <w:rPr>
          <w:rFonts w:eastAsia="Times New Roman" w:cstheme="minorHAnsi"/>
          <w:b/>
          <w:bCs/>
          <w:color w:val="000000"/>
          <w:lang w:eastAsia="en-GB"/>
        </w:rPr>
      </w:pPr>
      <w:r w:rsidRPr="002E1EDA">
        <w:rPr>
          <w:rFonts w:eastAsia="Times New Roman" w:cstheme="minorHAnsi"/>
          <w:color w:val="000000"/>
          <w:lang w:eastAsia="en-GB"/>
        </w:rPr>
        <w:t>Evidence of payment up to defrayment i.e., leaving the bank account</w:t>
      </w:r>
      <w:r w:rsidR="006325D0" w:rsidRPr="002E1EDA">
        <w:rPr>
          <w:rFonts w:eastAsia="Times New Roman" w:cstheme="minorHAnsi"/>
          <w:color w:val="000000"/>
          <w:lang w:eastAsia="en-GB"/>
        </w:rPr>
        <w:t>.</w:t>
      </w:r>
      <w:r w:rsidRPr="002E1EDA">
        <w:rPr>
          <w:rFonts w:eastAsia="Times New Roman" w:cstheme="minorHAnsi"/>
          <w:b/>
          <w:bCs/>
          <w:color w:val="000000"/>
          <w:lang w:eastAsia="en-GB"/>
        </w:rPr>
        <w:t xml:space="preserve"> </w:t>
      </w:r>
    </w:p>
    <w:p w14:paraId="5C6E6FBB" w14:textId="77777777" w:rsidR="006325D0" w:rsidRDefault="006325D0" w:rsidP="008F2BE0">
      <w:pPr>
        <w:spacing w:after="0"/>
        <w:rPr>
          <w:rFonts w:eastAsia="Times New Roman" w:cstheme="minorHAnsi"/>
          <w:b/>
          <w:bCs/>
          <w:color w:val="000000"/>
          <w:lang w:eastAsia="en-GB"/>
        </w:rPr>
      </w:pPr>
    </w:p>
    <w:p w14:paraId="68FD91EB" w14:textId="2BC8521B" w:rsidR="00641C6E" w:rsidRPr="008F5C85" w:rsidRDefault="00641C6E" w:rsidP="008F2BE0">
      <w:pPr>
        <w:spacing w:after="0"/>
        <w:rPr>
          <w:rFonts w:eastAsia="Times New Roman" w:cstheme="minorHAnsi"/>
          <w:color w:val="000000"/>
          <w:lang w:eastAsia="en-GB"/>
        </w:rPr>
      </w:pPr>
      <w:r w:rsidRPr="006325D0">
        <w:rPr>
          <w:rFonts w:eastAsia="Times New Roman" w:cstheme="minorHAnsi"/>
          <w:b/>
          <w:bCs/>
          <w:color w:val="000000"/>
          <w:lang w:eastAsia="en-GB"/>
        </w:rPr>
        <w:t xml:space="preserve">Where reference to the 2.5% ‘top-slice’ is made, </w:t>
      </w:r>
      <w:r w:rsidR="00223898">
        <w:rPr>
          <w:rFonts w:eastAsia="Times New Roman" w:cstheme="minorHAnsi"/>
          <w:b/>
          <w:bCs/>
          <w:color w:val="000000"/>
          <w:lang w:eastAsia="en-GB"/>
        </w:rPr>
        <w:t>do applicants</w:t>
      </w:r>
      <w:r w:rsidRPr="006325D0">
        <w:rPr>
          <w:rFonts w:eastAsia="Times New Roman" w:cstheme="minorHAnsi"/>
          <w:b/>
          <w:bCs/>
          <w:color w:val="000000"/>
          <w:lang w:eastAsia="en-GB"/>
        </w:rPr>
        <w:t xml:space="preserve"> need to include </w:t>
      </w:r>
      <w:r w:rsidR="00223898">
        <w:rPr>
          <w:rFonts w:eastAsia="Times New Roman" w:cstheme="minorHAnsi"/>
          <w:b/>
          <w:bCs/>
          <w:color w:val="000000"/>
          <w:lang w:eastAsia="en-GB"/>
        </w:rPr>
        <w:t xml:space="preserve">this </w:t>
      </w:r>
      <w:r w:rsidRPr="006325D0">
        <w:rPr>
          <w:rFonts w:eastAsia="Times New Roman" w:cstheme="minorHAnsi"/>
          <w:b/>
          <w:bCs/>
          <w:color w:val="000000"/>
          <w:lang w:eastAsia="en-GB"/>
        </w:rPr>
        <w:t xml:space="preserve">in Annex A </w:t>
      </w:r>
      <w:r w:rsidR="00685E65">
        <w:rPr>
          <w:rFonts w:eastAsia="Times New Roman" w:cstheme="minorHAnsi"/>
          <w:b/>
          <w:bCs/>
          <w:color w:val="000000"/>
          <w:lang w:eastAsia="en-GB"/>
        </w:rPr>
        <w:t xml:space="preserve">as </w:t>
      </w:r>
      <w:r w:rsidRPr="006325D0">
        <w:rPr>
          <w:rFonts w:eastAsia="Times New Roman" w:cstheme="minorHAnsi"/>
          <w:b/>
          <w:bCs/>
          <w:color w:val="000000"/>
          <w:lang w:eastAsia="en-GB"/>
        </w:rPr>
        <w:t xml:space="preserve">part of the maximum award? For </w:t>
      </w:r>
      <w:r w:rsidR="00A05F26" w:rsidRPr="006325D0">
        <w:rPr>
          <w:rFonts w:eastAsia="Times New Roman" w:cstheme="minorHAnsi"/>
          <w:b/>
          <w:bCs/>
          <w:color w:val="000000"/>
          <w:lang w:eastAsia="en-GB"/>
        </w:rPr>
        <w:t>example,</w:t>
      </w:r>
      <w:r w:rsidRPr="006325D0">
        <w:rPr>
          <w:rFonts w:eastAsia="Times New Roman" w:cstheme="minorHAnsi"/>
          <w:b/>
          <w:bCs/>
          <w:color w:val="000000"/>
          <w:lang w:eastAsia="en-GB"/>
        </w:rPr>
        <w:t xml:space="preserve"> if our bid value is £500k does that mean that the 2.5% needs to be within the 500k or over and above the 500k?</w:t>
      </w:r>
    </w:p>
    <w:p w14:paraId="62D3CDCB" w14:textId="70EFD87C" w:rsidR="00641C6E" w:rsidRPr="008F5C85" w:rsidRDefault="00641C6E" w:rsidP="008F2BE0">
      <w:pPr>
        <w:spacing w:after="0"/>
        <w:rPr>
          <w:rFonts w:eastAsia="Times New Roman" w:cstheme="minorHAnsi"/>
          <w:b/>
          <w:bCs/>
          <w:color w:val="000000"/>
          <w:lang w:eastAsia="en-GB"/>
        </w:rPr>
      </w:pPr>
      <w:r w:rsidRPr="006325D0">
        <w:rPr>
          <w:rFonts w:eastAsia="Times New Roman" w:cstheme="minorHAnsi"/>
          <w:color w:val="000000"/>
          <w:lang w:eastAsia="en-GB"/>
        </w:rPr>
        <w:t>The 2.5% top slice would need to be within the amount requested.</w:t>
      </w:r>
    </w:p>
    <w:p w14:paraId="3C5C101B" w14:textId="77777777" w:rsidR="006325D0" w:rsidRDefault="006325D0" w:rsidP="008F2BE0">
      <w:pPr>
        <w:spacing w:after="0"/>
        <w:rPr>
          <w:rFonts w:eastAsia="Times New Roman" w:cstheme="minorHAnsi"/>
          <w:b/>
          <w:bCs/>
          <w:color w:val="000000"/>
          <w:lang w:eastAsia="en-GB"/>
        </w:rPr>
      </w:pPr>
    </w:p>
    <w:p w14:paraId="7736A885" w14:textId="77777777" w:rsidR="00413CE2" w:rsidRDefault="00413CE2" w:rsidP="008F2BE0">
      <w:pPr>
        <w:spacing w:after="0"/>
      </w:pPr>
    </w:p>
    <w:p w14:paraId="2D67B5FF" w14:textId="4E82293C" w:rsidR="00514F18" w:rsidRDefault="00514F18" w:rsidP="008F2BE0">
      <w:pPr>
        <w:pStyle w:val="Heading1"/>
        <w:spacing w:before="0"/>
      </w:pPr>
      <w:r>
        <w:t>Value for Money</w:t>
      </w:r>
    </w:p>
    <w:p w14:paraId="6CF19C13" w14:textId="4E82293C" w:rsidR="00E16664" w:rsidRPr="00685E65" w:rsidRDefault="00E16664" w:rsidP="008F2BE0">
      <w:pPr>
        <w:pStyle w:val="paragraph"/>
        <w:spacing w:before="0" w:beforeAutospacing="0" w:after="0" w:afterAutospacing="0"/>
        <w:textAlignment w:val="baseline"/>
        <w:rPr>
          <w:rFonts w:asciiTheme="minorHAnsi" w:hAnsiTheme="minorHAnsi" w:cstheme="minorHAnsi"/>
          <w:b/>
          <w:bCs/>
          <w:sz w:val="22"/>
          <w:szCs w:val="22"/>
        </w:rPr>
      </w:pPr>
      <w:r w:rsidRPr="00685E65">
        <w:rPr>
          <w:rFonts w:asciiTheme="minorHAnsi" w:hAnsiTheme="minorHAnsi" w:cstheme="minorHAnsi"/>
          <w:b/>
          <w:bCs/>
          <w:sz w:val="22"/>
          <w:szCs w:val="22"/>
        </w:rPr>
        <w:t xml:space="preserve">Can you indicate a unit price range that is acceptable within the </w:t>
      </w:r>
      <w:proofErr w:type="spellStart"/>
      <w:r w:rsidRPr="00685E65">
        <w:rPr>
          <w:rFonts w:asciiTheme="minorHAnsi" w:hAnsiTheme="minorHAnsi" w:cstheme="minorHAnsi"/>
          <w:b/>
          <w:bCs/>
          <w:sz w:val="22"/>
          <w:szCs w:val="22"/>
        </w:rPr>
        <w:t>programme</w:t>
      </w:r>
      <w:proofErr w:type="spellEnd"/>
      <w:r w:rsidRPr="00685E65">
        <w:rPr>
          <w:rFonts w:asciiTheme="minorHAnsi" w:hAnsiTheme="minorHAnsi" w:cstheme="minorHAnsi"/>
          <w:b/>
          <w:bCs/>
          <w:sz w:val="22"/>
          <w:szCs w:val="22"/>
        </w:rPr>
        <w:t xml:space="preserve"> design? </w:t>
      </w:r>
    </w:p>
    <w:p w14:paraId="0BFD73A6" w14:textId="77777777" w:rsidR="00E16664" w:rsidRPr="00685E65" w:rsidRDefault="00E16664" w:rsidP="008F2BE0">
      <w:pPr>
        <w:pStyle w:val="paragraph"/>
        <w:spacing w:before="0" w:beforeAutospacing="0" w:after="0" w:afterAutospacing="0"/>
        <w:textAlignment w:val="baseline"/>
        <w:rPr>
          <w:rFonts w:asciiTheme="minorHAnsi" w:hAnsiTheme="minorHAnsi" w:cstheme="minorBidi"/>
          <w:iCs/>
          <w:sz w:val="22"/>
          <w:szCs w:val="22"/>
        </w:rPr>
      </w:pPr>
      <w:r w:rsidRPr="00685E65">
        <w:rPr>
          <w:rFonts w:asciiTheme="minorHAnsi" w:hAnsiTheme="minorHAnsi" w:cstheme="minorBidi"/>
          <w:iCs/>
          <w:sz w:val="22"/>
          <w:szCs w:val="22"/>
        </w:rPr>
        <w:t xml:space="preserve">We would encourage bidders to use a unit price range they deem reasonable, </w:t>
      </w:r>
      <w:proofErr w:type="gramStart"/>
      <w:r w:rsidRPr="00685E65">
        <w:rPr>
          <w:rFonts w:asciiTheme="minorHAnsi" w:hAnsiTheme="minorHAnsi" w:cstheme="minorBidi"/>
          <w:iCs/>
          <w:sz w:val="22"/>
          <w:szCs w:val="22"/>
        </w:rPr>
        <w:t>proportionate</w:t>
      </w:r>
      <w:proofErr w:type="gramEnd"/>
      <w:r w:rsidRPr="00685E65">
        <w:rPr>
          <w:rFonts w:asciiTheme="minorHAnsi" w:hAnsiTheme="minorHAnsi" w:cstheme="minorBidi"/>
          <w:iCs/>
          <w:sz w:val="22"/>
          <w:szCs w:val="22"/>
        </w:rPr>
        <w:t xml:space="preserve"> and evidenced against need.</w:t>
      </w:r>
    </w:p>
    <w:p w14:paraId="154A6CC4" w14:textId="77777777" w:rsidR="00E16664" w:rsidRDefault="00E16664" w:rsidP="008F2BE0">
      <w:pPr>
        <w:pStyle w:val="paragraph"/>
        <w:spacing w:before="0" w:beforeAutospacing="0" w:after="0" w:afterAutospacing="0"/>
        <w:textAlignment w:val="baseline"/>
        <w:rPr>
          <w:rFonts w:asciiTheme="minorHAnsi" w:hAnsiTheme="minorHAnsi" w:cstheme="minorHAnsi"/>
          <w:sz w:val="22"/>
          <w:szCs w:val="22"/>
        </w:rPr>
      </w:pPr>
    </w:p>
    <w:p w14:paraId="633B5D4A" w14:textId="4D8292D1" w:rsidR="00E16664" w:rsidRPr="00685E65" w:rsidRDefault="00E16664" w:rsidP="008F2BE0">
      <w:pPr>
        <w:pStyle w:val="paragraph"/>
        <w:spacing w:before="0" w:beforeAutospacing="0" w:after="0" w:afterAutospacing="0"/>
        <w:textAlignment w:val="baseline"/>
        <w:rPr>
          <w:rFonts w:asciiTheme="minorHAnsi" w:hAnsiTheme="minorHAnsi" w:cstheme="minorBidi"/>
          <w:b/>
          <w:bCs/>
          <w:sz w:val="22"/>
          <w:szCs w:val="22"/>
        </w:rPr>
      </w:pPr>
      <w:r w:rsidRPr="00685E65">
        <w:rPr>
          <w:rFonts w:asciiTheme="minorHAnsi" w:hAnsiTheme="minorHAnsi" w:cstheme="minorBidi"/>
          <w:b/>
          <w:bCs/>
          <w:sz w:val="22"/>
          <w:szCs w:val="22"/>
        </w:rPr>
        <w:t xml:space="preserve">Can you give the level of outputs and outcomes that are left within the </w:t>
      </w:r>
      <w:proofErr w:type="spellStart"/>
      <w:r w:rsidRPr="00685E65">
        <w:rPr>
          <w:rFonts w:asciiTheme="minorHAnsi" w:hAnsiTheme="minorHAnsi" w:cstheme="minorBidi"/>
          <w:b/>
          <w:bCs/>
          <w:sz w:val="22"/>
          <w:szCs w:val="22"/>
        </w:rPr>
        <w:t>programme</w:t>
      </w:r>
      <w:proofErr w:type="spellEnd"/>
      <w:r w:rsidRPr="00685E65">
        <w:rPr>
          <w:rFonts w:asciiTheme="minorHAnsi" w:hAnsiTheme="minorHAnsi" w:cstheme="minorBidi"/>
          <w:b/>
          <w:bCs/>
          <w:sz w:val="22"/>
          <w:szCs w:val="22"/>
        </w:rPr>
        <w:t xml:space="preserve"> planning after initial </w:t>
      </w:r>
      <w:proofErr w:type="spellStart"/>
      <w:r w:rsidRPr="00685E65">
        <w:rPr>
          <w:rFonts w:asciiTheme="minorHAnsi" w:hAnsiTheme="minorHAnsi" w:cstheme="minorBidi"/>
          <w:b/>
          <w:bCs/>
          <w:sz w:val="22"/>
          <w:szCs w:val="22"/>
        </w:rPr>
        <w:t>programmes</w:t>
      </w:r>
      <w:proofErr w:type="spellEnd"/>
      <w:r w:rsidRPr="00685E65">
        <w:rPr>
          <w:rFonts w:asciiTheme="minorHAnsi" w:hAnsiTheme="minorHAnsi" w:cstheme="minorBidi"/>
          <w:b/>
          <w:bCs/>
          <w:sz w:val="22"/>
          <w:szCs w:val="22"/>
        </w:rPr>
        <w:t xml:space="preserve"> have been approved?  </w:t>
      </w:r>
    </w:p>
    <w:p w14:paraId="7776C1A9" w14:textId="38C51473" w:rsidR="00E16664" w:rsidRPr="00685E65" w:rsidRDefault="00E16664" w:rsidP="008F2BE0">
      <w:pPr>
        <w:pStyle w:val="paragraph"/>
        <w:spacing w:before="0" w:beforeAutospacing="0" w:after="0" w:afterAutospacing="0"/>
        <w:textAlignment w:val="baseline"/>
        <w:rPr>
          <w:rFonts w:asciiTheme="minorHAnsi" w:hAnsiTheme="minorHAnsi" w:cstheme="minorHAnsi"/>
          <w:sz w:val="22"/>
          <w:szCs w:val="22"/>
        </w:rPr>
      </w:pPr>
      <w:r w:rsidRPr="00685E65">
        <w:rPr>
          <w:rFonts w:asciiTheme="minorHAnsi" w:hAnsiTheme="minorHAnsi" w:cstheme="minorHAnsi"/>
          <w:sz w:val="22"/>
          <w:szCs w:val="22"/>
        </w:rPr>
        <w:t xml:space="preserve">All information relevant to applications for this call has been shared. As there is a likelihood of </w:t>
      </w:r>
      <w:r w:rsidR="00E02F2B" w:rsidRPr="00685E65">
        <w:rPr>
          <w:rFonts w:asciiTheme="minorHAnsi" w:hAnsiTheme="minorHAnsi" w:cstheme="minorHAnsi"/>
          <w:sz w:val="22"/>
          <w:szCs w:val="22"/>
        </w:rPr>
        <w:t>several</w:t>
      </w:r>
      <w:r w:rsidRPr="00685E65">
        <w:rPr>
          <w:rFonts w:asciiTheme="minorHAnsi" w:hAnsiTheme="minorHAnsi" w:cstheme="minorHAnsi"/>
          <w:sz w:val="22"/>
          <w:szCs w:val="22"/>
        </w:rPr>
        <w:t xml:space="preserve"> projects being funded under this call, we are </w:t>
      </w:r>
      <w:proofErr w:type="gramStart"/>
      <w:r w:rsidRPr="00685E65">
        <w:rPr>
          <w:rFonts w:asciiTheme="minorHAnsi" w:hAnsiTheme="minorHAnsi" w:cstheme="minorHAnsi"/>
          <w:sz w:val="22"/>
          <w:szCs w:val="22"/>
        </w:rPr>
        <w:t>as yet</w:t>
      </w:r>
      <w:proofErr w:type="gramEnd"/>
      <w:r w:rsidRPr="00685E65">
        <w:rPr>
          <w:rFonts w:asciiTheme="minorHAnsi" w:hAnsiTheme="minorHAnsi" w:cstheme="minorHAnsi"/>
          <w:sz w:val="22"/>
          <w:szCs w:val="22"/>
        </w:rPr>
        <w:t xml:space="preserve"> unaware of the outputs and outcomes that will be accounted for under this call.</w:t>
      </w:r>
    </w:p>
    <w:p w14:paraId="7A3B2F70" w14:textId="77777777" w:rsidR="00514F18" w:rsidRPr="00685E65" w:rsidRDefault="00514F18" w:rsidP="008F2BE0">
      <w:pPr>
        <w:spacing w:after="0"/>
      </w:pPr>
    </w:p>
    <w:p w14:paraId="70B3FBE9" w14:textId="659BFA95" w:rsidR="00325DC1" w:rsidRDefault="00325DC1" w:rsidP="008F2BE0">
      <w:pPr>
        <w:pStyle w:val="Heading1"/>
        <w:spacing w:before="0"/>
      </w:pPr>
      <w:r>
        <w:t>Deliverability</w:t>
      </w:r>
    </w:p>
    <w:p w14:paraId="57EFBF1D" w14:textId="77777777" w:rsidR="00541616" w:rsidRPr="00D22D7B" w:rsidRDefault="00541616" w:rsidP="008F2BE0">
      <w:pPr>
        <w:spacing w:after="0"/>
        <w:rPr>
          <w:b/>
          <w:bCs/>
        </w:rPr>
      </w:pPr>
      <w:r w:rsidRPr="00D22D7B">
        <w:rPr>
          <w:b/>
          <w:bCs/>
        </w:rPr>
        <w:t xml:space="preserve">What support is available to implement the projects? </w:t>
      </w:r>
    </w:p>
    <w:p w14:paraId="2383B346" w14:textId="298B0307" w:rsidR="00541616" w:rsidRDefault="00541616" w:rsidP="008F2BE0">
      <w:pPr>
        <w:spacing w:after="0"/>
        <w:rPr>
          <w:rFonts w:ascii="Calibri" w:eastAsia="Calibri" w:hAnsi="Calibri" w:cs="Calibri"/>
        </w:rPr>
      </w:pPr>
      <w:r w:rsidRPr="3BBE5D06">
        <w:rPr>
          <w:rFonts w:ascii="Calibri" w:eastAsia="Calibri" w:hAnsi="Calibri" w:cs="Calibri"/>
        </w:rPr>
        <w:t>Delivery partners will receive a designated LCRCA project support officer to support the implementation of the scheme throughout the duration of the UKPSF. The officer will work closely with the delivery team on the scheme to ensure compliance to UKSPF and audit guidance as well as answering general delivery queries.  It is also envisaged that a strand board/</w:t>
      </w:r>
      <w:r w:rsidR="00B26DDE">
        <w:rPr>
          <w:rFonts w:ascii="Calibri" w:eastAsia="Calibri" w:hAnsi="Calibri" w:cs="Calibri"/>
        </w:rPr>
        <w:t>shared learning</w:t>
      </w:r>
      <w:r w:rsidRPr="3BBE5D06">
        <w:rPr>
          <w:rFonts w:ascii="Calibri" w:eastAsia="Calibri" w:hAnsi="Calibri" w:cs="Calibri"/>
        </w:rPr>
        <w:t xml:space="preserve"> group will be set up to report on progress, lessons learnt and sharing best practice across all delivery partners.</w:t>
      </w:r>
      <w:r w:rsidR="00B26DDE">
        <w:rPr>
          <w:rFonts w:ascii="Calibri" w:eastAsia="Calibri" w:hAnsi="Calibri" w:cs="Calibri"/>
        </w:rPr>
        <w:t xml:space="preserve"> These arrangements will be finalised before delivery commences.</w:t>
      </w:r>
    </w:p>
    <w:p w14:paraId="3600841E" w14:textId="77777777" w:rsidR="0063321D" w:rsidRDefault="0063321D" w:rsidP="008F2BE0">
      <w:pPr>
        <w:spacing w:after="0"/>
        <w:rPr>
          <w:rFonts w:ascii="Calibri" w:eastAsia="Calibri" w:hAnsi="Calibri" w:cs="Calibri"/>
        </w:rPr>
      </w:pPr>
    </w:p>
    <w:p w14:paraId="21D15B13" w14:textId="77777777" w:rsidR="003F5C55" w:rsidRPr="00D22D7B" w:rsidRDefault="003F5C55" w:rsidP="008F2BE0">
      <w:pPr>
        <w:spacing w:after="0"/>
        <w:rPr>
          <w:b/>
        </w:rPr>
      </w:pPr>
      <w:r w:rsidRPr="00D22D7B">
        <w:rPr>
          <w:b/>
          <w:bCs/>
        </w:rPr>
        <w:t>Should bids focus on local or City Region-wide delivery?</w:t>
      </w:r>
    </w:p>
    <w:p w14:paraId="779FB826" w14:textId="77777777" w:rsidR="003F5C55" w:rsidRDefault="003F5C55" w:rsidP="008F2BE0">
      <w:pPr>
        <w:spacing w:after="0"/>
      </w:pPr>
      <w:r>
        <w:t>Our expectation is that delivery will be City Region-wide rather than covering distinct local authority areas with local-only projects being considered by exception.</w:t>
      </w:r>
    </w:p>
    <w:p w14:paraId="23430326" w14:textId="77777777" w:rsidR="00B26DDE" w:rsidRDefault="00B26DDE" w:rsidP="008F2BE0">
      <w:pPr>
        <w:spacing w:after="0"/>
      </w:pPr>
    </w:p>
    <w:p w14:paraId="539A712B" w14:textId="6D04842C" w:rsidR="008F12A2" w:rsidRPr="008F5C85" w:rsidRDefault="006B41CB" w:rsidP="008F2BE0">
      <w:pPr>
        <w:spacing w:after="0"/>
        <w:rPr>
          <w:rStyle w:val="ui-provider"/>
          <w:rFonts w:cstheme="minorHAnsi"/>
        </w:rPr>
      </w:pPr>
      <w:r w:rsidRPr="0631F690">
        <w:rPr>
          <w:rStyle w:val="ui-provider"/>
          <w:b/>
        </w:rPr>
        <w:t>Can previous procurements, for example those undertaken for ESF-funded programmes, be carried forward to this funding?</w:t>
      </w:r>
    </w:p>
    <w:p w14:paraId="5321546B" w14:textId="77777777" w:rsidR="00D87A0E" w:rsidRDefault="00BC29D8" w:rsidP="008F2BE0">
      <w:pPr>
        <w:spacing w:after="0"/>
        <w:textAlignment w:val="baseline"/>
        <w:rPr>
          <w:rStyle w:val="cf01"/>
          <w:rFonts w:asciiTheme="minorHAnsi" w:hAnsiTheme="minorHAnsi" w:cstheme="minorBidi"/>
          <w:sz w:val="22"/>
          <w:szCs w:val="22"/>
        </w:rPr>
      </w:pPr>
      <w:r w:rsidRPr="6FEB93E3">
        <w:rPr>
          <w:rStyle w:val="cf01"/>
          <w:rFonts w:asciiTheme="minorHAnsi" w:hAnsiTheme="minorHAnsi" w:cstheme="minorBidi"/>
          <w:sz w:val="22"/>
          <w:szCs w:val="22"/>
        </w:rPr>
        <w:t xml:space="preserve">UKSPF procurement guidance can be accessed at </w:t>
      </w:r>
      <w:hyperlink r:id="rId16" w:history="1">
        <w:r w:rsidRPr="6FEB93E3">
          <w:rPr>
            <w:rStyle w:val="cf01"/>
            <w:rFonts w:asciiTheme="minorHAnsi" w:hAnsiTheme="minorHAnsi" w:cstheme="minorBidi"/>
            <w:color w:val="0000FF"/>
            <w:sz w:val="22"/>
            <w:szCs w:val="22"/>
            <w:u w:val="single"/>
          </w:rPr>
          <w:t>UK Shared Prosperity Fund: procurement (8) - GOV.UK (www.gov.uk)</w:t>
        </w:r>
      </w:hyperlink>
      <w:r w:rsidRPr="6FEB93E3">
        <w:rPr>
          <w:rStyle w:val="cf01"/>
          <w:rFonts w:asciiTheme="minorHAnsi" w:hAnsiTheme="minorHAnsi" w:cstheme="minorBidi"/>
          <w:sz w:val="22"/>
          <w:szCs w:val="22"/>
        </w:rPr>
        <w:t xml:space="preserve"> . Provided you originally procured your suppliers in line with the expectations set out in this guidance</w:t>
      </w:r>
      <w:r w:rsidR="45F476B7" w:rsidRPr="31E0C753">
        <w:rPr>
          <w:rStyle w:val="cf01"/>
          <w:rFonts w:asciiTheme="minorHAnsi" w:hAnsiTheme="minorHAnsi" w:cstheme="minorBidi"/>
          <w:sz w:val="22"/>
          <w:szCs w:val="22"/>
        </w:rPr>
        <w:t>, the contracts allow for extension,</w:t>
      </w:r>
      <w:r w:rsidRPr="6FEB93E3">
        <w:rPr>
          <w:rStyle w:val="cf01"/>
          <w:rFonts w:asciiTheme="minorHAnsi" w:hAnsiTheme="minorHAnsi" w:cstheme="minorBidi"/>
          <w:sz w:val="22"/>
          <w:szCs w:val="22"/>
        </w:rPr>
        <w:t xml:space="preserve"> and the activities still align with UKSPF delivery requirements, you </w:t>
      </w:r>
      <w:r w:rsidR="1DBEE658" w:rsidRPr="645DF600">
        <w:rPr>
          <w:rStyle w:val="cf01"/>
          <w:rFonts w:asciiTheme="minorHAnsi" w:hAnsiTheme="minorHAnsi" w:cstheme="minorBidi"/>
          <w:sz w:val="22"/>
          <w:szCs w:val="22"/>
        </w:rPr>
        <w:t>may</w:t>
      </w:r>
      <w:r w:rsidRPr="6FEB93E3">
        <w:rPr>
          <w:rStyle w:val="cf01"/>
          <w:rFonts w:asciiTheme="minorHAnsi" w:hAnsiTheme="minorHAnsi" w:cstheme="minorBidi"/>
          <w:sz w:val="22"/>
          <w:szCs w:val="22"/>
        </w:rPr>
        <w:t xml:space="preserve"> be able to continue these existing contracts without needing to reprocure specifically due to the transfer to UKSPF funding.  We would however advise that partners are committed to ensuring that their project costs represent value for money so may take the opportunity to review their current contractual arrangements and satisfy themselves that they still demonstrate value for money. </w:t>
      </w:r>
    </w:p>
    <w:p w14:paraId="1609FD28" w14:textId="77777777" w:rsidR="00D87A0E" w:rsidRDefault="00D87A0E" w:rsidP="008F2BE0">
      <w:pPr>
        <w:spacing w:after="0"/>
        <w:textAlignment w:val="baseline"/>
        <w:rPr>
          <w:rStyle w:val="cf01"/>
          <w:rFonts w:asciiTheme="minorHAnsi" w:hAnsiTheme="minorHAnsi" w:cstheme="minorBidi"/>
          <w:sz w:val="22"/>
          <w:szCs w:val="22"/>
        </w:rPr>
      </w:pPr>
    </w:p>
    <w:p w14:paraId="7FA79943" w14:textId="743E532E" w:rsidR="00F339B6" w:rsidRPr="00C803F8" w:rsidRDefault="67988348" w:rsidP="008F2BE0">
      <w:pPr>
        <w:spacing w:after="0"/>
        <w:textAlignment w:val="baseline"/>
      </w:pPr>
      <w:r w:rsidRPr="254F5A96">
        <w:t xml:space="preserve">The Combined Authority recognises that the timescales applicants are working to are very tight, and therefore a formal tender procedure </w:t>
      </w:r>
      <w:r w:rsidRPr="737C6560">
        <w:t>could</w:t>
      </w:r>
      <w:r w:rsidRPr="254F5A96">
        <w:t xml:space="preserve"> mean delivery would be delayed. </w:t>
      </w:r>
      <w:r w:rsidRPr="587238D1">
        <w:t>Applicants</w:t>
      </w:r>
      <w:r w:rsidRPr="2CA3B3EC">
        <w:t xml:space="preserve"> should </w:t>
      </w:r>
      <w:r w:rsidRPr="57A5E4B5">
        <w:t>seek to</w:t>
      </w:r>
      <w:r w:rsidRPr="254F5A96">
        <w:t xml:space="preserve"> test the market to ensure value for money, but balance this with the need to ensure delivery </w:t>
      </w:r>
      <w:r w:rsidRPr="6A61CED8">
        <w:t xml:space="preserve">commences and progresses as </w:t>
      </w:r>
      <w:r w:rsidRPr="32457264">
        <w:t>qui</w:t>
      </w:r>
      <w:r w:rsidR="280F5A1E" w:rsidRPr="32457264">
        <w:t>ckly</w:t>
      </w:r>
      <w:r w:rsidRPr="254F5A96">
        <w:t xml:space="preserve"> as possible.</w:t>
      </w:r>
    </w:p>
    <w:p w14:paraId="2C95693F" w14:textId="0B764BE4" w:rsidR="00F339B6" w:rsidRPr="00C803F8" w:rsidRDefault="00F339B6" w:rsidP="008F2BE0">
      <w:pPr>
        <w:pStyle w:val="paragraph"/>
        <w:spacing w:before="0" w:beforeAutospacing="0" w:after="0" w:afterAutospacing="0"/>
        <w:textAlignment w:val="baseline"/>
        <w:rPr>
          <w:rFonts w:asciiTheme="minorHAnsi" w:hAnsiTheme="minorHAnsi" w:cstheme="minorBidi"/>
          <w:sz w:val="22"/>
          <w:szCs w:val="22"/>
        </w:rPr>
      </w:pPr>
    </w:p>
    <w:p w14:paraId="68A1BDC6" w14:textId="5164191A" w:rsidR="00F339B6" w:rsidRPr="008E5F23" w:rsidRDefault="00F339B6" w:rsidP="008F2BE0">
      <w:pPr>
        <w:pStyle w:val="paragraph"/>
        <w:spacing w:before="0" w:beforeAutospacing="0" w:after="0" w:afterAutospacing="0"/>
        <w:textAlignment w:val="baseline"/>
        <w:rPr>
          <w:rFonts w:asciiTheme="minorHAnsi" w:hAnsiTheme="minorHAnsi" w:cstheme="minorBidi"/>
          <w:b/>
          <w:bCs/>
          <w:sz w:val="22"/>
          <w:szCs w:val="22"/>
        </w:rPr>
      </w:pPr>
      <w:r w:rsidRPr="008E5F23">
        <w:rPr>
          <w:rFonts w:asciiTheme="minorHAnsi" w:hAnsiTheme="minorHAnsi" w:cstheme="minorBidi"/>
          <w:b/>
          <w:bCs/>
          <w:sz w:val="22"/>
          <w:szCs w:val="22"/>
        </w:rPr>
        <w:lastRenderedPageBreak/>
        <w:t xml:space="preserve">What are the evidence requirements for outcomes from the </w:t>
      </w:r>
      <w:proofErr w:type="spellStart"/>
      <w:r w:rsidRPr="008E5F23">
        <w:rPr>
          <w:rFonts w:asciiTheme="minorHAnsi" w:hAnsiTheme="minorHAnsi" w:cstheme="minorBidi"/>
          <w:b/>
          <w:bCs/>
          <w:sz w:val="22"/>
          <w:szCs w:val="22"/>
        </w:rPr>
        <w:t>programme</w:t>
      </w:r>
      <w:proofErr w:type="spellEnd"/>
      <w:r w:rsidRPr="008E5F23">
        <w:rPr>
          <w:rFonts w:asciiTheme="minorHAnsi" w:hAnsiTheme="minorHAnsi" w:cstheme="minorBidi"/>
          <w:b/>
          <w:bCs/>
          <w:sz w:val="22"/>
          <w:szCs w:val="22"/>
        </w:rPr>
        <w:t xml:space="preserve">? </w:t>
      </w:r>
      <w:r w:rsidR="008E5F23" w:rsidRPr="008E5F23">
        <w:rPr>
          <w:rFonts w:asciiTheme="minorHAnsi" w:hAnsiTheme="minorHAnsi" w:cstheme="minorBidi"/>
          <w:b/>
          <w:bCs/>
          <w:sz w:val="22"/>
          <w:szCs w:val="22"/>
        </w:rPr>
        <w:t>Will</w:t>
      </w:r>
      <w:r w:rsidRPr="008E5F23">
        <w:rPr>
          <w:rFonts w:asciiTheme="minorHAnsi" w:hAnsiTheme="minorHAnsi" w:cstheme="minorBidi"/>
          <w:b/>
          <w:bCs/>
          <w:sz w:val="22"/>
          <w:szCs w:val="22"/>
        </w:rPr>
        <w:t xml:space="preserve"> </w:t>
      </w:r>
      <w:r w:rsidR="00C741C8" w:rsidRPr="008E5F23">
        <w:rPr>
          <w:rFonts w:asciiTheme="minorHAnsi" w:hAnsiTheme="minorHAnsi" w:cstheme="minorBidi"/>
          <w:b/>
          <w:bCs/>
          <w:sz w:val="22"/>
          <w:szCs w:val="22"/>
        </w:rPr>
        <w:t>self-declaration</w:t>
      </w:r>
      <w:r w:rsidRPr="008E5F23">
        <w:rPr>
          <w:rFonts w:asciiTheme="minorHAnsi" w:hAnsiTheme="minorHAnsi" w:cstheme="minorBidi"/>
          <w:b/>
          <w:bCs/>
          <w:sz w:val="22"/>
          <w:szCs w:val="22"/>
        </w:rPr>
        <w:t xml:space="preserve"> be acceptable? </w:t>
      </w:r>
    </w:p>
    <w:p w14:paraId="176F3CBC" w14:textId="2A86EE23" w:rsidR="005F1F3D" w:rsidRPr="005F1F3D" w:rsidRDefault="00EA317C" w:rsidP="008F2BE0">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W</w:t>
      </w:r>
      <w:r w:rsidR="005F1F3D" w:rsidRPr="005F1F3D">
        <w:rPr>
          <w:rFonts w:asciiTheme="minorHAnsi" w:hAnsiTheme="minorHAnsi" w:cstheme="minorHAnsi"/>
          <w:sz w:val="22"/>
          <w:szCs w:val="22"/>
        </w:rPr>
        <w:t xml:space="preserve">e would encourage applicants to outline their approach in delivery to data collection and evidencing in their application and would like to see all successful projects funded under this call to rely on self-declaration as the last port of call for evidencing rather </w:t>
      </w:r>
      <w:r w:rsidR="005F1F3D" w:rsidRPr="00C4408B">
        <w:rPr>
          <w:rFonts w:asciiTheme="minorHAnsi" w:hAnsiTheme="minorHAnsi" w:cstheme="minorHAnsi"/>
          <w:sz w:val="22"/>
          <w:szCs w:val="22"/>
        </w:rPr>
        <w:t>than the rule.</w:t>
      </w:r>
      <w:r w:rsidR="00C4408B" w:rsidRPr="00C4408B">
        <w:rPr>
          <w:rStyle w:val="ui-provider"/>
          <w:rFonts w:asciiTheme="minorHAnsi" w:hAnsiTheme="minorHAnsi" w:cstheme="minorHAnsi"/>
          <w:sz w:val="22"/>
          <w:szCs w:val="22"/>
        </w:rPr>
        <w:t xml:space="preserve"> We </w:t>
      </w:r>
      <w:proofErr w:type="gramStart"/>
      <w:r w:rsidR="00C4408B" w:rsidRPr="00C4408B">
        <w:rPr>
          <w:rStyle w:val="ui-provider"/>
          <w:rFonts w:asciiTheme="minorHAnsi" w:hAnsiTheme="minorHAnsi" w:cstheme="minorHAnsi"/>
          <w:sz w:val="22"/>
          <w:szCs w:val="22"/>
        </w:rPr>
        <w:t>would need</w:t>
      </w:r>
      <w:proofErr w:type="gramEnd"/>
      <w:r w:rsidR="00C4408B" w:rsidRPr="00C4408B">
        <w:rPr>
          <w:rStyle w:val="ui-provider"/>
          <w:rFonts w:asciiTheme="minorHAnsi" w:hAnsiTheme="minorHAnsi" w:cstheme="minorHAnsi"/>
          <w:sz w:val="22"/>
          <w:szCs w:val="22"/>
        </w:rPr>
        <w:t xml:space="preserve"> to see that engagement with key worker and support has been offered – evidence that they have gone into employment, start date, the same for training.</w:t>
      </w:r>
    </w:p>
    <w:p w14:paraId="1D38105D" w14:textId="77777777" w:rsidR="008869C2" w:rsidRDefault="008869C2" w:rsidP="008F2BE0">
      <w:pPr>
        <w:spacing w:after="0"/>
        <w:jc w:val="both"/>
        <w:rPr>
          <w:rStyle w:val="ui-provider"/>
          <w:rFonts w:cstheme="minorHAnsi"/>
          <w:b/>
          <w:bCs/>
        </w:rPr>
      </w:pPr>
    </w:p>
    <w:p w14:paraId="2AE7FEDA" w14:textId="77777777" w:rsidR="008C2051" w:rsidRDefault="00325DC1" w:rsidP="008F2BE0">
      <w:pPr>
        <w:pStyle w:val="Heading1"/>
        <w:spacing w:before="0"/>
      </w:pPr>
      <w:r>
        <w:t>Eligibility of participants</w:t>
      </w:r>
    </w:p>
    <w:p w14:paraId="16E4F2A9" w14:textId="43CEB980" w:rsidR="000072D5" w:rsidRDefault="000072D5" w:rsidP="008F2BE0">
      <w:pPr>
        <w:spacing w:after="0"/>
        <w:rPr>
          <w:rFonts w:eastAsia="Times New Roman" w:cstheme="minorHAnsi"/>
          <w:b/>
          <w:bCs/>
          <w:color w:val="000000"/>
          <w:lang w:eastAsia="en-GB"/>
        </w:rPr>
      </w:pPr>
      <w:r>
        <w:rPr>
          <w:rFonts w:eastAsia="Times New Roman" w:cstheme="minorHAnsi"/>
          <w:b/>
          <w:bCs/>
          <w:color w:val="000000"/>
          <w:lang w:eastAsia="en-GB"/>
        </w:rPr>
        <w:t>Is the focus of the call ‘economically inactive’ or ‘socially excluded’ people?</w:t>
      </w:r>
    </w:p>
    <w:p w14:paraId="4A17B221" w14:textId="77777777" w:rsidR="00E30B92" w:rsidRDefault="00FF0E6F" w:rsidP="008F2BE0">
      <w:pPr>
        <w:spacing w:after="0"/>
        <w:rPr>
          <w:rFonts w:cstheme="minorHAnsi"/>
        </w:rPr>
      </w:pPr>
      <w:r>
        <w:rPr>
          <w:rFonts w:cstheme="minorHAnsi"/>
        </w:rPr>
        <w:t xml:space="preserve">This strand of work is defined in the DLUHC guidance as E33 which outlines </w:t>
      </w:r>
      <w:proofErr w:type="gramStart"/>
      <w:r>
        <w:rPr>
          <w:rFonts w:cstheme="minorHAnsi"/>
        </w:rPr>
        <w:t>a number of</w:t>
      </w:r>
      <w:proofErr w:type="gramEnd"/>
      <w:r>
        <w:rPr>
          <w:rFonts w:cstheme="minorHAnsi"/>
        </w:rPr>
        <w:t xml:space="preserve"> outputs and outcomes. The key outputs and outcomes we have highlighted under this call are those that we have committed to delivering against for the Liverpool City Region (and there</w:t>
      </w:r>
      <w:r w:rsidR="00E30B92">
        <w:rPr>
          <w:rFonts w:cstheme="minorHAnsi"/>
        </w:rPr>
        <w:t xml:space="preserve">fore are not committed to delivering against the other outputs and outcomes). </w:t>
      </w:r>
    </w:p>
    <w:p w14:paraId="477DEB41" w14:textId="2AD70E5D" w:rsidR="00565C11" w:rsidRDefault="00565C11" w:rsidP="008F2BE0">
      <w:pPr>
        <w:spacing w:after="0"/>
        <w:rPr>
          <w:rFonts w:cstheme="minorHAnsi"/>
        </w:rPr>
      </w:pPr>
      <w:r>
        <w:rPr>
          <w:rFonts w:cstheme="minorHAnsi"/>
        </w:rPr>
        <w:t xml:space="preserve">The DLUHC guidance for E33 uses both the terms ‘economically inactive’ and ‘socially excluded’ </w:t>
      </w:r>
      <w:r w:rsidR="00107558">
        <w:rPr>
          <w:rFonts w:cstheme="minorHAnsi"/>
        </w:rPr>
        <w:t xml:space="preserve">so our guidance has been drafted to reflect this. The definitions for </w:t>
      </w:r>
      <w:proofErr w:type="gramStart"/>
      <w:r w:rsidR="00107558">
        <w:rPr>
          <w:rFonts w:cstheme="minorHAnsi"/>
        </w:rPr>
        <w:t>both of these</w:t>
      </w:r>
      <w:proofErr w:type="gramEnd"/>
      <w:r w:rsidR="00107558">
        <w:rPr>
          <w:rFonts w:cstheme="minorHAnsi"/>
        </w:rPr>
        <w:t xml:space="preserve"> terms are outlined below.</w:t>
      </w:r>
    </w:p>
    <w:p w14:paraId="7F39A3DB" w14:textId="1777D23B" w:rsidR="00D260E0" w:rsidRPr="00AA1910" w:rsidRDefault="008C2051" w:rsidP="008F2BE0">
      <w:pPr>
        <w:spacing w:after="0"/>
        <w:rPr>
          <w:rStyle w:val="eop"/>
          <w:rFonts w:cstheme="minorHAnsi"/>
        </w:rPr>
      </w:pPr>
      <w:r w:rsidRPr="003F0D2E">
        <w:rPr>
          <w:rFonts w:cstheme="minorHAnsi"/>
        </w:rPr>
        <w:t>Applicants need to be mindful</w:t>
      </w:r>
      <w:r w:rsidR="00107558">
        <w:rPr>
          <w:rFonts w:cstheme="minorHAnsi"/>
        </w:rPr>
        <w:t xml:space="preserve"> though,</w:t>
      </w:r>
      <w:r w:rsidRPr="003F0D2E">
        <w:rPr>
          <w:rFonts w:cstheme="minorHAnsi"/>
        </w:rPr>
        <w:t xml:space="preserve"> </w:t>
      </w:r>
      <w:r w:rsidR="00E30B92">
        <w:rPr>
          <w:rFonts w:cstheme="minorHAnsi"/>
        </w:rPr>
        <w:t>of</w:t>
      </w:r>
      <w:r w:rsidRPr="003F0D2E">
        <w:rPr>
          <w:rFonts w:cstheme="minorHAnsi"/>
        </w:rPr>
        <w:t xml:space="preserve"> the outputs and outcomes we are looking to address with this </w:t>
      </w:r>
      <w:r w:rsidR="00E30B92">
        <w:rPr>
          <w:rFonts w:cstheme="minorHAnsi"/>
        </w:rPr>
        <w:t>c</w:t>
      </w:r>
      <w:r w:rsidRPr="003F0D2E">
        <w:rPr>
          <w:rFonts w:cstheme="minorHAnsi"/>
        </w:rPr>
        <w:t xml:space="preserve">all </w:t>
      </w:r>
      <w:r w:rsidR="00AA1910">
        <w:rPr>
          <w:rFonts w:cstheme="minorHAnsi"/>
        </w:rPr>
        <w:t xml:space="preserve">and ensure the focus of their projects reflect these. </w:t>
      </w:r>
      <w:r w:rsidR="005D20E5">
        <w:rPr>
          <w:rFonts w:cstheme="minorHAnsi"/>
        </w:rPr>
        <w:t>T</w:t>
      </w:r>
      <w:r w:rsidR="00D260E0" w:rsidRPr="003F0D2E">
        <w:rPr>
          <w:rStyle w:val="eop"/>
        </w:rPr>
        <w:t>he focus of our call is on economically inactive individuals and employment support can only be given to those that meet those requirements. We are therefore looking for bids which satisfy this requirement.</w:t>
      </w:r>
    </w:p>
    <w:p w14:paraId="615011C0" w14:textId="77777777" w:rsidR="00D260E0" w:rsidRPr="003F0D2E" w:rsidRDefault="00D260E0" w:rsidP="008F2BE0">
      <w:pPr>
        <w:pStyle w:val="paragraph"/>
        <w:spacing w:before="0" w:beforeAutospacing="0" w:after="0" w:afterAutospacing="0"/>
        <w:textAlignment w:val="baseline"/>
        <w:rPr>
          <w:rStyle w:val="eop"/>
          <w:rFonts w:asciiTheme="minorHAnsi" w:hAnsiTheme="minorHAnsi" w:cstheme="minorBidi"/>
          <w:sz w:val="22"/>
          <w:szCs w:val="22"/>
        </w:rPr>
      </w:pPr>
      <w:r w:rsidRPr="003F0D2E">
        <w:rPr>
          <w:rStyle w:val="eop"/>
          <w:rFonts w:asciiTheme="minorHAnsi" w:hAnsiTheme="minorHAnsi" w:cstheme="minorBidi"/>
          <w:sz w:val="22"/>
          <w:szCs w:val="22"/>
        </w:rPr>
        <w:t>The DLUHC definitions of economically inactive and socially excluded are as follows:</w:t>
      </w:r>
    </w:p>
    <w:p w14:paraId="57C5E311" w14:textId="56168A1E" w:rsidR="00D260E0" w:rsidRPr="003F0D2E" w:rsidRDefault="00D260E0" w:rsidP="008F2BE0">
      <w:pPr>
        <w:spacing w:after="0"/>
      </w:pPr>
      <w:r w:rsidRPr="003F0D2E">
        <w:br/>
        <w:t xml:space="preserve">- </w:t>
      </w:r>
      <w:r w:rsidRPr="003F0D2E">
        <w:rPr>
          <w:b/>
          <w:bCs/>
        </w:rPr>
        <w:t>Economically Inactive</w:t>
      </w:r>
      <w:r w:rsidRPr="003F0D2E">
        <w:t xml:space="preserve"> individuals are those not in work and not actively seeking work (unlike unemployed individuals who are actively seeking work). Not all economically inactive individuals claim benefits. For those that do, this would include those claiming either “legacy” benefits or those within specific conditionality regimes in Universal Credit: The former includes Employment Support Allowance (ESA), Incapacity Benefit (IB) and Income Support (IS). The latter includes claimants within the Preparation Requirement or Work Focused Interview Requirement conditionality regimes. There is no length of time on inactivity required. People count if they are 16+.</w:t>
      </w:r>
    </w:p>
    <w:p w14:paraId="2D409CB5" w14:textId="0135F4BF" w:rsidR="00224B71" w:rsidRPr="003F0D2E" w:rsidRDefault="00224B71" w:rsidP="008F2BE0">
      <w:pPr>
        <w:spacing w:after="0"/>
      </w:pPr>
      <w:r w:rsidRPr="003F0D2E">
        <w:t xml:space="preserve">- </w:t>
      </w:r>
      <w:r w:rsidRPr="003F0D2E">
        <w:rPr>
          <w:b/>
          <w:bCs/>
        </w:rPr>
        <w:t>Socially excluded</w:t>
      </w:r>
      <w:r w:rsidRPr="003F0D2E">
        <w:t xml:space="preserve"> means being excluded from society, or parts of society, as a result of one of more of following factors:  Unemployment, financial hardship, youth or old age, ill health (physical or mental), substance abuse or dependency including alcohol and drugs, discrimination on the grounds of sex, race, disability, ethnic origin, religion, belief, creed, sexual orientation or gender re-assignment, poor educational or skills attainment, relationship and family breakdown, poor housing (that is housing that does not meet basic habitable standards), and crime (either as a victim of crime or as an offender rehabilitating into society).</w:t>
      </w:r>
    </w:p>
    <w:p w14:paraId="5DA4E7BA" w14:textId="74C5BE6A" w:rsidR="00D260E0" w:rsidRPr="003F0D2E" w:rsidRDefault="005D20E5" w:rsidP="008F2BE0">
      <w:pPr>
        <w:spacing w:after="0"/>
        <w:rPr>
          <w:rStyle w:val="Hyperlink"/>
        </w:rPr>
      </w:pPr>
      <w:r>
        <w:t xml:space="preserve">These definitions can be found here: </w:t>
      </w:r>
      <w:hyperlink r:id="rId17" w:history="1">
        <w:r w:rsidRPr="00F37B49">
          <w:rPr>
            <w:rStyle w:val="Hyperlink"/>
          </w:rPr>
          <w:t>https://www.google.co.uk/url?sa=t&amp;rct=j&amp;q=&amp;esrc=s&amp;source=web&amp;cd=&amp;ved=2ahUKEwiztpni-sOCAxVxWUEAHQocAPsQFnoECBsQAQ&amp;url=https%3A%2F%2Fassets.publishing.service.gov.uk%2Fgovernment%2Fuploads%2Fsystem%2Fuploads%2Fattachment_data%2Ffile%2F1140763%2FUKSPF_Indicators_22.02.2023.xlsx&amp;usg=AOvVaw3C6o1BbuLXOZhZ3GgTS7SO&amp;opi=89978449</w:t>
        </w:r>
      </w:hyperlink>
    </w:p>
    <w:p w14:paraId="4274BB6D" w14:textId="77777777" w:rsidR="008208F4" w:rsidRDefault="008208F4" w:rsidP="008F2BE0">
      <w:pPr>
        <w:spacing w:after="0"/>
        <w:rPr>
          <w:rStyle w:val="ui-provider"/>
          <w:rFonts w:cstheme="minorHAnsi"/>
          <w:b/>
          <w:bCs/>
        </w:rPr>
      </w:pPr>
    </w:p>
    <w:p w14:paraId="6AD2C04E" w14:textId="77777777" w:rsidR="00B819D0" w:rsidRDefault="00B819D0" w:rsidP="00B819D0">
      <w:pPr>
        <w:spacing w:after="0" w:line="240" w:lineRule="auto"/>
        <w:rPr>
          <w:rFonts w:eastAsia="Times New Roman"/>
          <w:b/>
          <w:bCs/>
        </w:rPr>
      </w:pPr>
      <w:r w:rsidRPr="00B819D0">
        <w:rPr>
          <w:rFonts w:eastAsia="Times New Roman"/>
          <w:b/>
          <w:bCs/>
        </w:rPr>
        <w:t>If a participant at the point of enrolling onto a programme is economically inactive and eligible to access the programme, but then their circumstances change and they no longer meet the definition of economically inactive, for example they register as unemployed and receive unemployment related benefits, would they still be eligible, based on their status at the point at which they first accessed the programme?</w:t>
      </w:r>
    </w:p>
    <w:p w14:paraId="499F8848" w14:textId="77777777" w:rsidR="00B819D0" w:rsidRPr="00B819D0" w:rsidRDefault="00B819D0" w:rsidP="00B819D0">
      <w:pPr>
        <w:rPr>
          <w:rStyle w:val="ui-provider"/>
          <w:rFonts w:cstheme="minorHAnsi"/>
        </w:rPr>
      </w:pPr>
      <w:r w:rsidRPr="00B819D0">
        <w:rPr>
          <w:rStyle w:val="ui-provider"/>
          <w:rFonts w:cstheme="minorHAnsi"/>
        </w:rPr>
        <w:lastRenderedPageBreak/>
        <w:t>The individual would no longer be eligible for the project and any outputs or outcomes could not be claimed (after the date at which they became ineligible).</w:t>
      </w:r>
    </w:p>
    <w:p w14:paraId="32BE146E" w14:textId="7C5ACCEE" w:rsidR="008208F4" w:rsidRPr="001A41DF" w:rsidRDefault="008208F4" w:rsidP="008F2BE0">
      <w:pPr>
        <w:spacing w:after="0"/>
        <w:rPr>
          <w:rStyle w:val="ui-provider"/>
          <w:rFonts w:cstheme="minorHAnsi"/>
          <w:b/>
          <w:bCs/>
        </w:rPr>
      </w:pPr>
      <w:r w:rsidRPr="001A41DF">
        <w:rPr>
          <w:rStyle w:val="ui-provider"/>
          <w:rFonts w:cstheme="minorHAnsi"/>
          <w:b/>
          <w:bCs/>
        </w:rPr>
        <w:t>Is there an output for socially excluded people? </w:t>
      </w:r>
    </w:p>
    <w:p w14:paraId="412288F1" w14:textId="0C9FA7F1" w:rsidR="008208F4" w:rsidRDefault="008208F4" w:rsidP="008F2BE0">
      <w:pPr>
        <w:spacing w:after="0"/>
        <w:rPr>
          <w:rStyle w:val="ui-provider"/>
          <w:rFonts w:cstheme="minorHAnsi"/>
        </w:rPr>
      </w:pPr>
      <w:r w:rsidRPr="001A41DF">
        <w:rPr>
          <w:rStyle w:val="ui-provider"/>
          <w:rFonts w:cstheme="minorHAnsi"/>
        </w:rPr>
        <w:t>No. Socially excluded people are eligible, but the outputs</w:t>
      </w:r>
      <w:r>
        <w:rPr>
          <w:rStyle w:val="ui-provider"/>
          <w:rFonts w:cstheme="minorHAnsi"/>
        </w:rPr>
        <w:t xml:space="preserve"> LCRCA are committed to delivering </w:t>
      </w:r>
      <w:r w:rsidRPr="001A41DF">
        <w:rPr>
          <w:rStyle w:val="ui-provider"/>
          <w:rFonts w:cstheme="minorHAnsi"/>
        </w:rPr>
        <w:t xml:space="preserve">relate to </w:t>
      </w:r>
      <w:r>
        <w:rPr>
          <w:rStyle w:val="ui-provider"/>
          <w:rFonts w:cstheme="minorHAnsi"/>
        </w:rPr>
        <w:t xml:space="preserve">the </w:t>
      </w:r>
      <w:r w:rsidRPr="001A41DF">
        <w:rPr>
          <w:rStyle w:val="ui-provider"/>
          <w:rFonts w:cstheme="minorHAnsi"/>
        </w:rPr>
        <w:t xml:space="preserve">economically inactive. </w:t>
      </w:r>
      <w:r>
        <w:rPr>
          <w:rStyle w:val="ui-provider"/>
          <w:rFonts w:cstheme="minorHAnsi"/>
        </w:rPr>
        <w:t xml:space="preserve">DLUHC’s definition of the E33 intervention uses both economically inactive and socially excluded but our </w:t>
      </w:r>
      <w:r w:rsidRPr="001A41DF">
        <w:rPr>
          <w:rStyle w:val="ui-provider"/>
          <w:rFonts w:cstheme="minorHAnsi"/>
        </w:rPr>
        <w:t>focus is on economically inactive</w:t>
      </w:r>
      <w:r>
        <w:rPr>
          <w:rStyle w:val="ui-provider"/>
          <w:rFonts w:cstheme="minorHAnsi"/>
        </w:rPr>
        <w:t>.</w:t>
      </w:r>
    </w:p>
    <w:p w14:paraId="12BE6C1D" w14:textId="77777777" w:rsidR="00856AD4" w:rsidRPr="00B86EAC" w:rsidRDefault="00856AD4" w:rsidP="008F2BE0">
      <w:pPr>
        <w:pStyle w:val="paragraph"/>
        <w:spacing w:before="0" w:beforeAutospacing="0" w:after="0" w:afterAutospacing="0"/>
        <w:textAlignment w:val="baseline"/>
        <w:rPr>
          <w:rStyle w:val="eop"/>
          <w:rFonts w:asciiTheme="minorHAnsi" w:hAnsiTheme="minorHAnsi" w:cstheme="minorBidi"/>
          <w:sz w:val="22"/>
          <w:szCs w:val="22"/>
          <w:highlight w:val="yellow"/>
        </w:rPr>
      </w:pPr>
    </w:p>
    <w:p w14:paraId="13C56AFF" w14:textId="31702ECC" w:rsidR="005B7C24" w:rsidRPr="003F0D2E" w:rsidRDefault="005B7C24" w:rsidP="008F2BE0">
      <w:pPr>
        <w:spacing w:after="0"/>
        <w:rPr>
          <w:rFonts w:eastAsia="Times New Roman" w:cstheme="minorHAnsi"/>
          <w:b/>
          <w:bCs/>
          <w:color w:val="000000"/>
          <w:lang w:eastAsia="en-GB"/>
        </w:rPr>
      </w:pPr>
      <w:r w:rsidRPr="003F0D2E">
        <w:rPr>
          <w:rFonts w:eastAsia="Times New Roman" w:cstheme="minorHAnsi"/>
          <w:b/>
          <w:bCs/>
          <w:color w:val="000000"/>
          <w:lang w:eastAsia="en-GB"/>
        </w:rPr>
        <w:t xml:space="preserve">Is there a proportionality you are expecting between economically inactive and socially excluded individuals? i.e. would you expect more EI individuals? </w:t>
      </w:r>
    </w:p>
    <w:p w14:paraId="17A66945" w14:textId="12021E9C" w:rsidR="005B7C24" w:rsidRPr="003F0D2E" w:rsidRDefault="005B7C24" w:rsidP="008F2BE0">
      <w:pPr>
        <w:spacing w:after="0"/>
        <w:rPr>
          <w:rFonts w:eastAsia="Times New Roman" w:cstheme="minorHAnsi"/>
          <w:color w:val="000000"/>
          <w:lang w:eastAsia="en-GB"/>
        </w:rPr>
      </w:pPr>
      <w:r w:rsidRPr="003F0D2E">
        <w:rPr>
          <w:rFonts w:eastAsia="Times New Roman" w:cstheme="minorHAnsi"/>
          <w:color w:val="000000"/>
          <w:lang w:eastAsia="en-GB"/>
        </w:rPr>
        <w:t>We will not set a proportionality between socially excluded and economically inactive.</w:t>
      </w:r>
    </w:p>
    <w:p w14:paraId="211791E6" w14:textId="77777777" w:rsidR="00D07940" w:rsidRDefault="00D07940" w:rsidP="008F2BE0">
      <w:pPr>
        <w:spacing w:after="0"/>
        <w:rPr>
          <w:rStyle w:val="ui-provider"/>
          <w:rFonts w:cstheme="minorHAnsi"/>
          <w:b/>
          <w:bCs/>
        </w:rPr>
      </w:pPr>
    </w:p>
    <w:p w14:paraId="04790C07" w14:textId="5C82CDA1" w:rsidR="008444D6" w:rsidRPr="003F0D2E" w:rsidRDefault="0050536B" w:rsidP="008F2BE0">
      <w:pPr>
        <w:spacing w:after="0"/>
        <w:rPr>
          <w:rStyle w:val="ui-provider"/>
          <w:rFonts w:cstheme="minorHAnsi"/>
          <w:b/>
          <w:bCs/>
        </w:rPr>
      </w:pPr>
      <w:r>
        <w:rPr>
          <w:rStyle w:val="ui-provider"/>
          <w:rFonts w:cstheme="minorHAnsi"/>
          <w:b/>
          <w:bCs/>
        </w:rPr>
        <w:t xml:space="preserve">Are students </w:t>
      </w:r>
      <w:r w:rsidR="007471C3">
        <w:rPr>
          <w:rStyle w:val="ui-provider"/>
          <w:rFonts w:cstheme="minorHAnsi"/>
          <w:b/>
          <w:bCs/>
        </w:rPr>
        <w:t>deemed economically inactive and therefore, eligible</w:t>
      </w:r>
      <w:r w:rsidR="008444D6" w:rsidRPr="003F0D2E">
        <w:rPr>
          <w:rStyle w:val="ui-provider"/>
          <w:rFonts w:cstheme="minorHAnsi"/>
          <w:b/>
          <w:bCs/>
        </w:rPr>
        <w:t>?</w:t>
      </w:r>
    </w:p>
    <w:p w14:paraId="0370FA31" w14:textId="75972660" w:rsidR="00F64055" w:rsidRDefault="008444D6" w:rsidP="008F2BE0">
      <w:pPr>
        <w:spacing w:after="0"/>
        <w:rPr>
          <w:rFonts w:eastAsia="Times New Roman" w:cstheme="minorHAnsi"/>
          <w:color w:val="000000"/>
          <w:lang w:eastAsia="en-GB"/>
        </w:rPr>
      </w:pPr>
      <w:r w:rsidRPr="003F0D2E">
        <w:rPr>
          <w:rStyle w:val="ui-provider"/>
          <w:rFonts w:cstheme="minorHAnsi"/>
        </w:rPr>
        <w:t>Yes</w:t>
      </w:r>
      <w:r w:rsidR="007471C3">
        <w:rPr>
          <w:rStyle w:val="ui-provider"/>
          <w:rFonts w:cstheme="minorHAnsi"/>
        </w:rPr>
        <w:t>, students will be eligible.</w:t>
      </w:r>
      <w:r w:rsidR="007471C3">
        <w:rPr>
          <w:rFonts w:cstheme="minorHAnsi"/>
        </w:rPr>
        <w:t xml:space="preserve"> Regarding international students: w</w:t>
      </w:r>
      <w:r w:rsidR="00F64055" w:rsidRPr="003F0D2E">
        <w:t>hilst DLUHC’s definition of economically inactive does not specifically mention international students, we recognise that some international students may be eligible to work under their visas. However, we would need to be convinced that there was evidence of the beneficiaries facing disadvantage and of the local impact and benefit of projects focusing on these individuals.</w:t>
      </w:r>
      <w:r w:rsidR="00F64055" w:rsidRPr="005633C0">
        <w:rPr>
          <w:rFonts w:eastAsia="Times New Roman" w:cstheme="minorHAnsi"/>
          <w:color w:val="000000"/>
          <w:lang w:eastAsia="en-GB"/>
        </w:rPr>
        <w:t xml:space="preserve"> </w:t>
      </w:r>
    </w:p>
    <w:p w14:paraId="29E6F240" w14:textId="77777777" w:rsidR="00B819D0" w:rsidRDefault="00B819D0" w:rsidP="008F2BE0">
      <w:pPr>
        <w:spacing w:after="0"/>
        <w:rPr>
          <w:rFonts w:eastAsia="Times New Roman" w:cstheme="minorHAnsi"/>
          <w:color w:val="000000"/>
          <w:lang w:eastAsia="en-GB"/>
        </w:rPr>
      </w:pPr>
    </w:p>
    <w:p w14:paraId="0CA9FD3F" w14:textId="77777777" w:rsidR="00B819D0" w:rsidRPr="00B819D0" w:rsidRDefault="00B819D0" w:rsidP="00B819D0">
      <w:pPr>
        <w:spacing w:after="0" w:line="240" w:lineRule="auto"/>
        <w:rPr>
          <w:rFonts w:eastAsia="Times New Roman"/>
          <w:b/>
          <w:bCs/>
        </w:rPr>
      </w:pPr>
      <w:r w:rsidRPr="00B819D0">
        <w:rPr>
          <w:rFonts w:eastAsia="Times New Roman"/>
          <w:b/>
          <w:bCs/>
        </w:rPr>
        <w:t>Is there a minimum and maximum number of individuals enrolled on the programme the Authority would expect a single grant funded programme to support?</w:t>
      </w:r>
    </w:p>
    <w:p w14:paraId="42E7481F" w14:textId="77777777" w:rsidR="00B819D0" w:rsidRPr="00B819D0" w:rsidRDefault="00B819D0" w:rsidP="00B819D0">
      <w:r w:rsidRPr="00B819D0">
        <w:t>No, but must be achievable and proportionate to the type of activity to be delivered.  </w:t>
      </w:r>
    </w:p>
    <w:p w14:paraId="745B07F9" w14:textId="246C0BC5" w:rsidR="008444D6" w:rsidRPr="003F0D2E" w:rsidRDefault="008444D6" w:rsidP="008F2BE0">
      <w:pPr>
        <w:pStyle w:val="paragraph"/>
        <w:spacing w:before="0" w:beforeAutospacing="0" w:after="0" w:afterAutospacing="0"/>
        <w:textAlignment w:val="baseline"/>
        <w:rPr>
          <w:rStyle w:val="eop"/>
          <w:rFonts w:asciiTheme="minorHAnsi" w:hAnsiTheme="minorHAnsi" w:cstheme="minorBidi"/>
          <w:b/>
          <w:bCs/>
          <w:sz w:val="22"/>
          <w:szCs w:val="22"/>
        </w:rPr>
      </w:pPr>
      <w:r w:rsidRPr="003F0D2E">
        <w:rPr>
          <w:rStyle w:val="eop"/>
          <w:rFonts w:asciiTheme="minorHAnsi" w:hAnsiTheme="minorHAnsi" w:cstheme="minorBidi"/>
          <w:b/>
          <w:bCs/>
          <w:sz w:val="22"/>
          <w:szCs w:val="22"/>
        </w:rPr>
        <w:t xml:space="preserve">Are asylum seekers with the right to work but not leave to remain part of the economically inactive definition? </w:t>
      </w:r>
    </w:p>
    <w:p w14:paraId="634DC39B" w14:textId="77777777" w:rsidR="008444D6" w:rsidRDefault="008444D6" w:rsidP="008F2BE0">
      <w:pPr>
        <w:spacing w:after="0"/>
      </w:pPr>
      <w:r w:rsidRPr="003F0D2E">
        <w:t xml:space="preserve">Projects </w:t>
      </w:r>
      <w:proofErr w:type="gramStart"/>
      <w:r w:rsidRPr="003F0D2E">
        <w:t>are able to</w:t>
      </w:r>
      <w:proofErr w:type="gramEnd"/>
      <w:r w:rsidRPr="003F0D2E">
        <w:t xml:space="preserve"> support asylum seekers with the right to work but no leave to remain where they can be satisfied that they are legally eligible e.g. their asylum status remains active and isn’t revoked, their work is linked to skills shortages etc. and can evidence this.</w:t>
      </w:r>
    </w:p>
    <w:p w14:paraId="7C9BF06D" w14:textId="77777777" w:rsidR="00D07940" w:rsidRDefault="00D07940" w:rsidP="008F2BE0">
      <w:pPr>
        <w:pStyle w:val="paragraph"/>
        <w:spacing w:before="0" w:beforeAutospacing="0" w:after="0" w:afterAutospacing="0"/>
        <w:textAlignment w:val="baseline"/>
        <w:rPr>
          <w:rStyle w:val="eop"/>
          <w:rFonts w:asciiTheme="minorHAnsi" w:hAnsiTheme="minorHAnsi" w:cstheme="minorBidi"/>
          <w:b/>
          <w:bCs/>
          <w:sz w:val="22"/>
          <w:szCs w:val="22"/>
        </w:rPr>
      </w:pPr>
    </w:p>
    <w:p w14:paraId="32F3C268" w14:textId="6C61BCFC" w:rsidR="008444D6" w:rsidRPr="003F0D2E" w:rsidRDefault="008444D6" w:rsidP="008F2BE0">
      <w:pPr>
        <w:pStyle w:val="paragraph"/>
        <w:spacing w:before="0" w:beforeAutospacing="0" w:after="0" w:afterAutospacing="0"/>
        <w:textAlignment w:val="baseline"/>
        <w:rPr>
          <w:rStyle w:val="eop"/>
          <w:rFonts w:asciiTheme="minorHAnsi" w:hAnsiTheme="minorHAnsi" w:cstheme="minorBidi"/>
          <w:b/>
          <w:bCs/>
          <w:sz w:val="22"/>
          <w:szCs w:val="22"/>
        </w:rPr>
      </w:pPr>
      <w:r w:rsidRPr="003F0D2E">
        <w:rPr>
          <w:rStyle w:val="eop"/>
          <w:rFonts w:asciiTheme="minorHAnsi" w:hAnsiTheme="minorHAnsi" w:cstheme="minorBidi"/>
          <w:b/>
          <w:bCs/>
          <w:sz w:val="22"/>
          <w:szCs w:val="22"/>
        </w:rPr>
        <w:t>Does eligibility start at age 16 (comparable with Ways to Work)?</w:t>
      </w:r>
    </w:p>
    <w:p w14:paraId="4C75D098" w14:textId="410B7D8F" w:rsidR="008444D6" w:rsidRPr="003F0D2E" w:rsidRDefault="008444D6" w:rsidP="008F2BE0">
      <w:pPr>
        <w:pStyle w:val="paragraph"/>
        <w:spacing w:before="0" w:beforeAutospacing="0" w:after="0" w:afterAutospacing="0"/>
        <w:rPr>
          <w:rStyle w:val="eop"/>
          <w:rFonts w:asciiTheme="minorHAnsi" w:hAnsiTheme="minorHAnsi" w:cstheme="minorBidi"/>
          <w:sz w:val="22"/>
          <w:szCs w:val="22"/>
        </w:rPr>
      </w:pPr>
      <w:r w:rsidRPr="003F0D2E">
        <w:rPr>
          <w:rStyle w:val="eop"/>
          <w:rFonts w:asciiTheme="minorHAnsi" w:hAnsiTheme="minorHAnsi" w:cstheme="minorBidi"/>
          <w:sz w:val="22"/>
          <w:szCs w:val="22"/>
        </w:rPr>
        <w:t>Yes</w:t>
      </w:r>
      <w:r w:rsidR="00C9491B">
        <w:rPr>
          <w:rStyle w:val="eop"/>
          <w:rFonts w:asciiTheme="minorHAnsi" w:hAnsiTheme="minorHAnsi" w:cstheme="minorBidi"/>
          <w:sz w:val="22"/>
          <w:szCs w:val="22"/>
        </w:rPr>
        <w:t>, eligible participants are 16+.</w:t>
      </w:r>
    </w:p>
    <w:p w14:paraId="5EE65661" w14:textId="38EFD081" w:rsidR="00A743A4" w:rsidRPr="008F5C85" w:rsidRDefault="00A743A4" w:rsidP="008F2BE0">
      <w:pPr>
        <w:spacing w:after="0" w:line="240" w:lineRule="auto"/>
        <w:rPr>
          <w:rFonts w:eastAsia="Times New Roman" w:cstheme="minorHAnsi"/>
          <w:b/>
          <w:bCs/>
          <w:color w:val="000000"/>
          <w:lang w:eastAsia="en-GB"/>
        </w:rPr>
      </w:pPr>
    </w:p>
    <w:sectPr w:rsidR="00A743A4" w:rsidRPr="008F5C8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26B11" w14:textId="77777777" w:rsidR="00C66977" w:rsidRDefault="00C66977" w:rsidP="008208F4">
      <w:pPr>
        <w:spacing w:after="0" w:line="240" w:lineRule="auto"/>
      </w:pPr>
      <w:r>
        <w:separator/>
      </w:r>
    </w:p>
  </w:endnote>
  <w:endnote w:type="continuationSeparator" w:id="0">
    <w:p w14:paraId="7D3F3EF7" w14:textId="77777777" w:rsidR="00C66977" w:rsidRDefault="00C66977" w:rsidP="008208F4">
      <w:pPr>
        <w:spacing w:after="0" w:line="240" w:lineRule="auto"/>
      </w:pPr>
      <w:r>
        <w:continuationSeparator/>
      </w:r>
    </w:p>
  </w:endnote>
  <w:endnote w:type="continuationNotice" w:id="1">
    <w:p w14:paraId="3440D04B" w14:textId="77777777" w:rsidR="00C66977" w:rsidRDefault="00C669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E079E" w14:textId="77777777" w:rsidR="00C66977" w:rsidRDefault="00C66977" w:rsidP="008208F4">
      <w:pPr>
        <w:spacing w:after="0" w:line="240" w:lineRule="auto"/>
      </w:pPr>
      <w:r>
        <w:separator/>
      </w:r>
    </w:p>
  </w:footnote>
  <w:footnote w:type="continuationSeparator" w:id="0">
    <w:p w14:paraId="76D24B02" w14:textId="77777777" w:rsidR="00C66977" w:rsidRDefault="00C66977" w:rsidP="008208F4">
      <w:pPr>
        <w:spacing w:after="0" w:line="240" w:lineRule="auto"/>
      </w:pPr>
      <w:r>
        <w:continuationSeparator/>
      </w:r>
    </w:p>
  </w:footnote>
  <w:footnote w:type="continuationNotice" w:id="1">
    <w:p w14:paraId="6805AF96" w14:textId="77777777" w:rsidR="00C66977" w:rsidRDefault="00C669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501"/>
    <w:multiLevelType w:val="multilevel"/>
    <w:tmpl w:val="DC3A4110"/>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831A32"/>
    <w:multiLevelType w:val="hybridMultilevel"/>
    <w:tmpl w:val="2FF67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40F64"/>
    <w:multiLevelType w:val="hybridMultilevel"/>
    <w:tmpl w:val="59FA4E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443E53"/>
    <w:multiLevelType w:val="hybridMultilevel"/>
    <w:tmpl w:val="7BA01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2D6340"/>
    <w:multiLevelType w:val="hybridMultilevel"/>
    <w:tmpl w:val="FFFFFFFF"/>
    <w:lvl w:ilvl="0" w:tplc="9BA4637C">
      <w:start w:val="1"/>
      <w:numFmt w:val="decimal"/>
      <w:lvlText w:val="%1."/>
      <w:lvlJc w:val="left"/>
      <w:pPr>
        <w:ind w:left="720" w:hanging="360"/>
      </w:pPr>
    </w:lvl>
    <w:lvl w:ilvl="1" w:tplc="F0DAA398">
      <w:start w:val="1"/>
      <w:numFmt w:val="lowerLetter"/>
      <w:lvlText w:val="%2."/>
      <w:lvlJc w:val="left"/>
      <w:pPr>
        <w:ind w:left="1440" w:hanging="360"/>
      </w:pPr>
    </w:lvl>
    <w:lvl w:ilvl="2" w:tplc="69C64DCA">
      <w:start w:val="1"/>
      <w:numFmt w:val="lowerRoman"/>
      <w:lvlText w:val="%3."/>
      <w:lvlJc w:val="right"/>
      <w:pPr>
        <w:ind w:left="2160" w:hanging="180"/>
      </w:pPr>
    </w:lvl>
    <w:lvl w:ilvl="3" w:tplc="AEDE2A56">
      <w:start w:val="1"/>
      <w:numFmt w:val="decimal"/>
      <w:lvlText w:val="%4."/>
      <w:lvlJc w:val="left"/>
      <w:pPr>
        <w:ind w:left="2880" w:hanging="360"/>
      </w:pPr>
    </w:lvl>
    <w:lvl w:ilvl="4" w:tplc="6FA6ABD6">
      <w:start w:val="1"/>
      <w:numFmt w:val="lowerLetter"/>
      <w:lvlText w:val="%5."/>
      <w:lvlJc w:val="left"/>
      <w:pPr>
        <w:ind w:left="3600" w:hanging="360"/>
      </w:pPr>
    </w:lvl>
    <w:lvl w:ilvl="5" w:tplc="A0E29778">
      <w:start w:val="1"/>
      <w:numFmt w:val="lowerRoman"/>
      <w:lvlText w:val="%6."/>
      <w:lvlJc w:val="right"/>
      <w:pPr>
        <w:ind w:left="4320" w:hanging="180"/>
      </w:pPr>
    </w:lvl>
    <w:lvl w:ilvl="6" w:tplc="699034A0">
      <w:start w:val="1"/>
      <w:numFmt w:val="decimal"/>
      <w:lvlText w:val="%7."/>
      <w:lvlJc w:val="left"/>
      <w:pPr>
        <w:ind w:left="5040" w:hanging="360"/>
      </w:pPr>
    </w:lvl>
    <w:lvl w:ilvl="7" w:tplc="6C6A875A">
      <w:start w:val="1"/>
      <w:numFmt w:val="lowerLetter"/>
      <w:lvlText w:val="%8."/>
      <w:lvlJc w:val="left"/>
      <w:pPr>
        <w:ind w:left="5760" w:hanging="360"/>
      </w:pPr>
    </w:lvl>
    <w:lvl w:ilvl="8" w:tplc="18CCAE54">
      <w:start w:val="1"/>
      <w:numFmt w:val="lowerRoman"/>
      <w:lvlText w:val="%9."/>
      <w:lvlJc w:val="right"/>
      <w:pPr>
        <w:ind w:left="6480" w:hanging="180"/>
      </w:pPr>
    </w:lvl>
  </w:abstractNum>
  <w:abstractNum w:abstractNumId="5" w15:restartNumberingAfterBreak="0">
    <w:nsid w:val="0C2E735F"/>
    <w:multiLevelType w:val="multilevel"/>
    <w:tmpl w:val="E5A0BBF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669710D"/>
    <w:multiLevelType w:val="multilevel"/>
    <w:tmpl w:val="E5A0BBF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7387A98"/>
    <w:multiLevelType w:val="hybridMultilevel"/>
    <w:tmpl w:val="FD6A9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901852"/>
    <w:multiLevelType w:val="hybridMultilevel"/>
    <w:tmpl w:val="2FB6BC98"/>
    <w:lvl w:ilvl="0" w:tplc="0809000F">
      <w:start w:val="1"/>
      <w:numFmt w:val="decimal"/>
      <w:lvlText w:val="%1."/>
      <w:lvlJc w:val="left"/>
      <w:pPr>
        <w:ind w:left="0" w:hanging="360"/>
      </w:pPr>
    </w:lvl>
    <w:lvl w:ilvl="1" w:tplc="08090019">
      <w:start w:val="1"/>
      <w:numFmt w:val="lowerLetter"/>
      <w:lvlText w:val="%2."/>
      <w:lvlJc w:val="left"/>
      <w:pPr>
        <w:ind w:left="720" w:hanging="360"/>
      </w:pPr>
    </w:lvl>
    <w:lvl w:ilvl="2" w:tplc="0809001B">
      <w:start w:val="1"/>
      <w:numFmt w:val="lowerRoman"/>
      <w:lvlText w:val="%3."/>
      <w:lvlJc w:val="right"/>
      <w:pPr>
        <w:ind w:left="1440" w:hanging="180"/>
      </w:pPr>
    </w:lvl>
    <w:lvl w:ilvl="3" w:tplc="0809000F">
      <w:start w:val="1"/>
      <w:numFmt w:val="decimal"/>
      <w:lvlText w:val="%4."/>
      <w:lvlJc w:val="left"/>
      <w:pPr>
        <w:ind w:left="2160" w:hanging="360"/>
      </w:pPr>
    </w:lvl>
    <w:lvl w:ilvl="4" w:tplc="08090019">
      <w:start w:val="1"/>
      <w:numFmt w:val="lowerLetter"/>
      <w:lvlText w:val="%5."/>
      <w:lvlJc w:val="left"/>
      <w:pPr>
        <w:ind w:left="2880" w:hanging="360"/>
      </w:pPr>
    </w:lvl>
    <w:lvl w:ilvl="5" w:tplc="0809001B">
      <w:start w:val="1"/>
      <w:numFmt w:val="lowerRoman"/>
      <w:lvlText w:val="%6."/>
      <w:lvlJc w:val="right"/>
      <w:pPr>
        <w:ind w:left="3600" w:hanging="180"/>
      </w:pPr>
    </w:lvl>
    <w:lvl w:ilvl="6" w:tplc="0809000F">
      <w:start w:val="1"/>
      <w:numFmt w:val="decimal"/>
      <w:lvlText w:val="%7."/>
      <w:lvlJc w:val="left"/>
      <w:pPr>
        <w:ind w:left="4320" w:hanging="360"/>
      </w:pPr>
    </w:lvl>
    <w:lvl w:ilvl="7" w:tplc="08090019">
      <w:start w:val="1"/>
      <w:numFmt w:val="lowerLetter"/>
      <w:lvlText w:val="%8."/>
      <w:lvlJc w:val="left"/>
      <w:pPr>
        <w:ind w:left="5040" w:hanging="360"/>
      </w:pPr>
    </w:lvl>
    <w:lvl w:ilvl="8" w:tplc="0809001B">
      <w:start w:val="1"/>
      <w:numFmt w:val="lowerRoman"/>
      <w:lvlText w:val="%9."/>
      <w:lvlJc w:val="right"/>
      <w:pPr>
        <w:ind w:left="5760" w:hanging="180"/>
      </w:pPr>
    </w:lvl>
  </w:abstractNum>
  <w:abstractNum w:abstractNumId="9" w15:restartNumberingAfterBreak="0">
    <w:nsid w:val="1FE26694"/>
    <w:multiLevelType w:val="hybridMultilevel"/>
    <w:tmpl w:val="29AC30D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568D14C"/>
    <w:multiLevelType w:val="hybridMultilevel"/>
    <w:tmpl w:val="29AC30D6"/>
    <w:lvl w:ilvl="0" w:tplc="7FD6D342">
      <w:start w:val="1"/>
      <w:numFmt w:val="decimal"/>
      <w:lvlText w:val="%1."/>
      <w:lvlJc w:val="left"/>
      <w:pPr>
        <w:ind w:left="720" w:hanging="360"/>
      </w:pPr>
    </w:lvl>
    <w:lvl w:ilvl="1" w:tplc="09462398">
      <w:start w:val="1"/>
      <w:numFmt w:val="lowerLetter"/>
      <w:lvlText w:val="%2."/>
      <w:lvlJc w:val="left"/>
      <w:pPr>
        <w:ind w:left="1440" w:hanging="360"/>
      </w:pPr>
    </w:lvl>
    <w:lvl w:ilvl="2" w:tplc="F53E0548">
      <w:start w:val="1"/>
      <w:numFmt w:val="lowerRoman"/>
      <w:lvlText w:val="%3."/>
      <w:lvlJc w:val="right"/>
      <w:pPr>
        <w:ind w:left="2160" w:hanging="180"/>
      </w:pPr>
    </w:lvl>
    <w:lvl w:ilvl="3" w:tplc="F800AF6A">
      <w:start w:val="1"/>
      <w:numFmt w:val="decimal"/>
      <w:lvlText w:val="%4."/>
      <w:lvlJc w:val="left"/>
      <w:pPr>
        <w:ind w:left="2880" w:hanging="360"/>
      </w:pPr>
    </w:lvl>
    <w:lvl w:ilvl="4" w:tplc="E24C2E76">
      <w:start w:val="1"/>
      <w:numFmt w:val="lowerLetter"/>
      <w:lvlText w:val="%5."/>
      <w:lvlJc w:val="left"/>
      <w:pPr>
        <w:ind w:left="3600" w:hanging="360"/>
      </w:pPr>
    </w:lvl>
    <w:lvl w:ilvl="5" w:tplc="CBA04026">
      <w:start w:val="1"/>
      <w:numFmt w:val="lowerRoman"/>
      <w:lvlText w:val="%6."/>
      <w:lvlJc w:val="right"/>
      <w:pPr>
        <w:ind w:left="4320" w:hanging="180"/>
      </w:pPr>
    </w:lvl>
    <w:lvl w:ilvl="6" w:tplc="64CAF682">
      <w:start w:val="1"/>
      <w:numFmt w:val="decimal"/>
      <w:lvlText w:val="%7."/>
      <w:lvlJc w:val="left"/>
      <w:pPr>
        <w:ind w:left="5040" w:hanging="360"/>
      </w:pPr>
    </w:lvl>
    <w:lvl w:ilvl="7" w:tplc="73528B4E">
      <w:start w:val="1"/>
      <w:numFmt w:val="lowerLetter"/>
      <w:lvlText w:val="%8."/>
      <w:lvlJc w:val="left"/>
      <w:pPr>
        <w:ind w:left="5760" w:hanging="360"/>
      </w:pPr>
    </w:lvl>
    <w:lvl w:ilvl="8" w:tplc="B6C29F88">
      <w:start w:val="1"/>
      <w:numFmt w:val="lowerRoman"/>
      <w:lvlText w:val="%9."/>
      <w:lvlJc w:val="right"/>
      <w:pPr>
        <w:ind w:left="6480" w:hanging="180"/>
      </w:pPr>
    </w:lvl>
  </w:abstractNum>
  <w:abstractNum w:abstractNumId="11" w15:restartNumberingAfterBreak="0">
    <w:nsid w:val="37562041"/>
    <w:multiLevelType w:val="hybridMultilevel"/>
    <w:tmpl w:val="1784A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A22DD0"/>
    <w:multiLevelType w:val="hybridMultilevel"/>
    <w:tmpl w:val="73A2A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F39976"/>
    <w:multiLevelType w:val="hybridMultilevel"/>
    <w:tmpl w:val="9B84A50E"/>
    <w:lvl w:ilvl="0" w:tplc="9FB8E086">
      <w:start w:val="1"/>
      <w:numFmt w:val="bullet"/>
      <w:lvlText w:val=""/>
      <w:lvlJc w:val="left"/>
      <w:pPr>
        <w:ind w:left="720" w:hanging="360"/>
      </w:pPr>
      <w:rPr>
        <w:rFonts w:ascii="Symbol" w:hAnsi="Symbol" w:hint="default"/>
      </w:rPr>
    </w:lvl>
    <w:lvl w:ilvl="1" w:tplc="0048052E">
      <w:start w:val="1"/>
      <w:numFmt w:val="bullet"/>
      <w:lvlText w:val="o"/>
      <w:lvlJc w:val="left"/>
      <w:pPr>
        <w:ind w:left="1440" w:hanging="360"/>
      </w:pPr>
      <w:rPr>
        <w:rFonts w:ascii="Courier New" w:hAnsi="Courier New" w:hint="default"/>
      </w:rPr>
    </w:lvl>
    <w:lvl w:ilvl="2" w:tplc="2BDE305E">
      <w:start w:val="1"/>
      <w:numFmt w:val="bullet"/>
      <w:lvlText w:val=""/>
      <w:lvlJc w:val="left"/>
      <w:pPr>
        <w:ind w:left="2160" w:hanging="360"/>
      </w:pPr>
      <w:rPr>
        <w:rFonts w:ascii="Wingdings" w:hAnsi="Wingdings" w:hint="default"/>
      </w:rPr>
    </w:lvl>
    <w:lvl w:ilvl="3" w:tplc="FD6CA9B4">
      <w:start w:val="1"/>
      <w:numFmt w:val="bullet"/>
      <w:lvlText w:val=""/>
      <w:lvlJc w:val="left"/>
      <w:pPr>
        <w:ind w:left="2880" w:hanging="360"/>
      </w:pPr>
      <w:rPr>
        <w:rFonts w:ascii="Symbol" w:hAnsi="Symbol" w:hint="default"/>
      </w:rPr>
    </w:lvl>
    <w:lvl w:ilvl="4" w:tplc="06F421AC">
      <w:start w:val="1"/>
      <w:numFmt w:val="bullet"/>
      <w:lvlText w:val="o"/>
      <w:lvlJc w:val="left"/>
      <w:pPr>
        <w:ind w:left="3600" w:hanging="360"/>
      </w:pPr>
      <w:rPr>
        <w:rFonts w:ascii="Courier New" w:hAnsi="Courier New" w:hint="default"/>
      </w:rPr>
    </w:lvl>
    <w:lvl w:ilvl="5" w:tplc="368E3BB2">
      <w:start w:val="1"/>
      <w:numFmt w:val="bullet"/>
      <w:lvlText w:val=""/>
      <w:lvlJc w:val="left"/>
      <w:pPr>
        <w:ind w:left="4320" w:hanging="360"/>
      </w:pPr>
      <w:rPr>
        <w:rFonts w:ascii="Wingdings" w:hAnsi="Wingdings" w:hint="default"/>
      </w:rPr>
    </w:lvl>
    <w:lvl w:ilvl="6" w:tplc="8968E3FC">
      <w:start w:val="1"/>
      <w:numFmt w:val="bullet"/>
      <w:lvlText w:val=""/>
      <w:lvlJc w:val="left"/>
      <w:pPr>
        <w:ind w:left="5040" w:hanging="360"/>
      </w:pPr>
      <w:rPr>
        <w:rFonts w:ascii="Symbol" w:hAnsi="Symbol" w:hint="default"/>
      </w:rPr>
    </w:lvl>
    <w:lvl w:ilvl="7" w:tplc="E03E58B4">
      <w:start w:val="1"/>
      <w:numFmt w:val="bullet"/>
      <w:lvlText w:val="o"/>
      <w:lvlJc w:val="left"/>
      <w:pPr>
        <w:ind w:left="5760" w:hanging="360"/>
      </w:pPr>
      <w:rPr>
        <w:rFonts w:ascii="Courier New" w:hAnsi="Courier New" w:hint="default"/>
      </w:rPr>
    </w:lvl>
    <w:lvl w:ilvl="8" w:tplc="64769488">
      <w:start w:val="1"/>
      <w:numFmt w:val="bullet"/>
      <w:lvlText w:val=""/>
      <w:lvlJc w:val="left"/>
      <w:pPr>
        <w:ind w:left="6480" w:hanging="360"/>
      </w:pPr>
      <w:rPr>
        <w:rFonts w:ascii="Wingdings" w:hAnsi="Wingdings" w:hint="default"/>
      </w:rPr>
    </w:lvl>
  </w:abstractNum>
  <w:abstractNum w:abstractNumId="14" w15:restartNumberingAfterBreak="0">
    <w:nsid w:val="437908D2"/>
    <w:multiLevelType w:val="hybridMultilevel"/>
    <w:tmpl w:val="FFFFFFFF"/>
    <w:lvl w:ilvl="0" w:tplc="2C587432">
      <w:start w:val="1"/>
      <w:numFmt w:val="decimal"/>
      <w:lvlText w:val="%1."/>
      <w:lvlJc w:val="left"/>
      <w:pPr>
        <w:ind w:left="720" w:hanging="360"/>
      </w:pPr>
    </w:lvl>
    <w:lvl w:ilvl="1" w:tplc="3AA41296">
      <w:start w:val="1"/>
      <w:numFmt w:val="lowerLetter"/>
      <w:lvlText w:val="%2."/>
      <w:lvlJc w:val="left"/>
      <w:pPr>
        <w:ind w:left="1440" w:hanging="360"/>
      </w:pPr>
    </w:lvl>
    <w:lvl w:ilvl="2" w:tplc="58DEC05C">
      <w:start w:val="1"/>
      <w:numFmt w:val="lowerRoman"/>
      <w:lvlText w:val="%3."/>
      <w:lvlJc w:val="right"/>
      <w:pPr>
        <w:ind w:left="2160" w:hanging="180"/>
      </w:pPr>
    </w:lvl>
    <w:lvl w:ilvl="3" w:tplc="169A80EE">
      <w:start w:val="1"/>
      <w:numFmt w:val="decimal"/>
      <w:lvlText w:val="%4."/>
      <w:lvlJc w:val="left"/>
      <w:pPr>
        <w:ind w:left="2880" w:hanging="360"/>
      </w:pPr>
    </w:lvl>
    <w:lvl w:ilvl="4" w:tplc="919CB022">
      <w:start w:val="1"/>
      <w:numFmt w:val="lowerLetter"/>
      <w:lvlText w:val="%5."/>
      <w:lvlJc w:val="left"/>
      <w:pPr>
        <w:ind w:left="3600" w:hanging="360"/>
      </w:pPr>
    </w:lvl>
    <w:lvl w:ilvl="5" w:tplc="A80EBB78">
      <w:start w:val="1"/>
      <w:numFmt w:val="lowerRoman"/>
      <w:lvlText w:val="%6."/>
      <w:lvlJc w:val="right"/>
      <w:pPr>
        <w:ind w:left="4320" w:hanging="180"/>
      </w:pPr>
    </w:lvl>
    <w:lvl w:ilvl="6" w:tplc="603C4844">
      <w:start w:val="1"/>
      <w:numFmt w:val="decimal"/>
      <w:lvlText w:val="%7."/>
      <w:lvlJc w:val="left"/>
      <w:pPr>
        <w:ind w:left="5040" w:hanging="360"/>
      </w:pPr>
    </w:lvl>
    <w:lvl w:ilvl="7" w:tplc="AEA0E6C0">
      <w:start w:val="1"/>
      <w:numFmt w:val="lowerLetter"/>
      <w:lvlText w:val="%8."/>
      <w:lvlJc w:val="left"/>
      <w:pPr>
        <w:ind w:left="5760" w:hanging="360"/>
      </w:pPr>
    </w:lvl>
    <w:lvl w:ilvl="8" w:tplc="D600617C">
      <w:start w:val="1"/>
      <w:numFmt w:val="lowerRoman"/>
      <w:lvlText w:val="%9."/>
      <w:lvlJc w:val="right"/>
      <w:pPr>
        <w:ind w:left="6480" w:hanging="180"/>
      </w:pPr>
    </w:lvl>
  </w:abstractNum>
  <w:abstractNum w:abstractNumId="15" w15:restartNumberingAfterBreak="0">
    <w:nsid w:val="467B2A7E"/>
    <w:multiLevelType w:val="multilevel"/>
    <w:tmpl w:val="BEBCD6E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9725B9C"/>
    <w:multiLevelType w:val="multilevel"/>
    <w:tmpl w:val="7B4A2A36"/>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9CB3416"/>
    <w:multiLevelType w:val="multilevel"/>
    <w:tmpl w:val="F10AC1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C9F40C7"/>
    <w:multiLevelType w:val="multilevel"/>
    <w:tmpl w:val="E5A0BBF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FBB024E"/>
    <w:multiLevelType w:val="hybridMultilevel"/>
    <w:tmpl w:val="9F703A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A75B27"/>
    <w:multiLevelType w:val="hybridMultilevel"/>
    <w:tmpl w:val="6BDC6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C72C95"/>
    <w:multiLevelType w:val="multilevel"/>
    <w:tmpl w:val="E5A0BBF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0D6624A"/>
    <w:multiLevelType w:val="hybridMultilevel"/>
    <w:tmpl w:val="10DC2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40883F"/>
    <w:multiLevelType w:val="hybridMultilevel"/>
    <w:tmpl w:val="FFFFFFFF"/>
    <w:lvl w:ilvl="0" w:tplc="D57C8BC6">
      <w:start w:val="1"/>
      <w:numFmt w:val="bullet"/>
      <w:lvlText w:val=""/>
      <w:lvlJc w:val="left"/>
      <w:pPr>
        <w:ind w:left="720" w:hanging="360"/>
      </w:pPr>
      <w:rPr>
        <w:rFonts w:ascii="Symbol" w:hAnsi="Symbol" w:hint="default"/>
      </w:rPr>
    </w:lvl>
    <w:lvl w:ilvl="1" w:tplc="B9C8BE8E">
      <w:start w:val="1"/>
      <w:numFmt w:val="bullet"/>
      <w:lvlText w:val="o"/>
      <w:lvlJc w:val="left"/>
      <w:pPr>
        <w:ind w:left="1440" w:hanging="360"/>
      </w:pPr>
      <w:rPr>
        <w:rFonts w:ascii="Courier New" w:hAnsi="Courier New" w:hint="default"/>
      </w:rPr>
    </w:lvl>
    <w:lvl w:ilvl="2" w:tplc="01627D98">
      <w:start w:val="1"/>
      <w:numFmt w:val="bullet"/>
      <w:lvlText w:val=""/>
      <w:lvlJc w:val="left"/>
      <w:pPr>
        <w:ind w:left="2160" w:hanging="360"/>
      </w:pPr>
      <w:rPr>
        <w:rFonts w:ascii="Wingdings" w:hAnsi="Wingdings" w:hint="default"/>
      </w:rPr>
    </w:lvl>
    <w:lvl w:ilvl="3" w:tplc="A966219E">
      <w:start w:val="1"/>
      <w:numFmt w:val="bullet"/>
      <w:lvlText w:val=""/>
      <w:lvlJc w:val="left"/>
      <w:pPr>
        <w:ind w:left="2880" w:hanging="360"/>
      </w:pPr>
      <w:rPr>
        <w:rFonts w:ascii="Symbol" w:hAnsi="Symbol" w:hint="default"/>
      </w:rPr>
    </w:lvl>
    <w:lvl w:ilvl="4" w:tplc="1A5CAD70">
      <w:start w:val="1"/>
      <w:numFmt w:val="bullet"/>
      <w:lvlText w:val="o"/>
      <w:lvlJc w:val="left"/>
      <w:pPr>
        <w:ind w:left="3600" w:hanging="360"/>
      </w:pPr>
      <w:rPr>
        <w:rFonts w:ascii="Courier New" w:hAnsi="Courier New" w:hint="default"/>
      </w:rPr>
    </w:lvl>
    <w:lvl w:ilvl="5" w:tplc="4E36E9F8">
      <w:start w:val="1"/>
      <w:numFmt w:val="bullet"/>
      <w:lvlText w:val=""/>
      <w:lvlJc w:val="left"/>
      <w:pPr>
        <w:ind w:left="4320" w:hanging="360"/>
      </w:pPr>
      <w:rPr>
        <w:rFonts w:ascii="Wingdings" w:hAnsi="Wingdings" w:hint="default"/>
      </w:rPr>
    </w:lvl>
    <w:lvl w:ilvl="6" w:tplc="5D12F3B2">
      <w:start w:val="1"/>
      <w:numFmt w:val="bullet"/>
      <w:lvlText w:val=""/>
      <w:lvlJc w:val="left"/>
      <w:pPr>
        <w:ind w:left="5040" w:hanging="360"/>
      </w:pPr>
      <w:rPr>
        <w:rFonts w:ascii="Symbol" w:hAnsi="Symbol" w:hint="default"/>
      </w:rPr>
    </w:lvl>
    <w:lvl w:ilvl="7" w:tplc="A6F23B94">
      <w:start w:val="1"/>
      <w:numFmt w:val="bullet"/>
      <w:lvlText w:val="o"/>
      <w:lvlJc w:val="left"/>
      <w:pPr>
        <w:ind w:left="5760" w:hanging="360"/>
      </w:pPr>
      <w:rPr>
        <w:rFonts w:ascii="Courier New" w:hAnsi="Courier New" w:hint="default"/>
      </w:rPr>
    </w:lvl>
    <w:lvl w:ilvl="8" w:tplc="20CC89BC">
      <w:start w:val="1"/>
      <w:numFmt w:val="bullet"/>
      <w:lvlText w:val=""/>
      <w:lvlJc w:val="left"/>
      <w:pPr>
        <w:ind w:left="6480" w:hanging="360"/>
      </w:pPr>
      <w:rPr>
        <w:rFonts w:ascii="Wingdings" w:hAnsi="Wingdings" w:hint="default"/>
      </w:rPr>
    </w:lvl>
  </w:abstractNum>
  <w:abstractNum w:abstractNumId="24" w15:restartNumberingAfterBreak="0">
    <w:nsid w:val="6E1E5598"/>
    <w:multiLevelType w:val="multilevel"/>
    <w:tmpl w:val="01EAD9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0C03771"/>
    <w:multiLevelType w:val="hybridMultilevel"/>
    <w:tmpl w:val="29AC30D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734C7B27"/>
    <w:multiLevelType w:val="hybridMultilevel"/>
    <w:tmpl w:val="52EA5836"/>
    <w:lvl w:ilvl="0" w:tplc="08090015">
      <w:start w:val="1"/>
      <w:numFmt w:val="upp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621325C"/>
    <w:multiLevelType w:val="hybridMultilevel"/>
    <w:tmpl w:val="29AC30D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77FD051C"/>
    <w:multiLevelType w:val="hybridMultilevel"/>
    <w:tmpl w:val="81D09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3FC299"/>
    <w:multiLevelType w:val="multilevel"/>
    <w:tmpl w:val="6480084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2603250">
    <w:abstractNumId w:val="13"/>
  </w:num>
  <w:num w:numId="2" w16cid:durableId="352657672">
    <w:abstractNumId w:val="0"/>
  </w:num>
  <w:num w:numId="3" w16cid:durableId="1151286256">
    <w:abstractNumId w:val="29"/>
  </w:num>
  <w:num w:numId="4" w16cid:durableId="675154966">
    <w:abstractNumId w:val="10"/>
  </w:num>
  <w:num w:numId="5" w16cid:durableId="1954828281">
    <w:abstractNumId w:val="23"/>
  </w:num>
  <w:num w:numId="6" w16cid:durableId="1784376140">
    <w:abstractNumId w:val="4"/>
  </w:num>
  <w:num w:numId="7" w16cid:durableId="691415943">
    <w:abstractNumId w:val="14"/>
  </w:num>
  <w:num w:numId="8" w16cid:durableId="559488594">
    <w:abstractNumId w:val="3"/>
  </w:num>
  <w:num w:numId="9" w16cid:durableId="2041398529">
    <w:abstractNumId w:val="1"/>
  </w:num>
  <w:num w:numId="10" w16cid:durableId="111902415">
    <w:abstractNumId w:val="2"/>
  </w:num>
  <w:num w:numId="11" w16cid:durableId="787047456">
    <w:abstractNumId w:val="28"/>
  </w:num>
  <w:num w:numId="12" w16cid:durableId="1668170968">
    <w:abstractNumId w:val="22"/>
  </w:num>
  <w:num w:numId="13" w16cid:durableId="1413432341">
    <w:abstractNumId w:val="26"/>
  </w:num>
  <w:num w:numId="14" w16cid:durableId="2000645876">
    <w:abstractNumId w:val="19"/>
  </w:num>
  <w:num w:numId="15" w16cid:durableId="17875818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28946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1322460">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451908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05684687">
    <w:abstractNumId w:val="9"/>
  </w:num>
  <w:num w:numId="20" w16cid:durableId="843787917">
    <w:abstractNumId w:val="27"/>
  </w:num>
  <w:num w:numId="21" w16cid:durableId="704405919">
    <w:abstractNumId w:val="25"/>
  </w:num>
  <w:num w:numId="22" w16cid:durableId="884801735">
    <w:abstractNumId w:val="18"/>
  </w:num>
  <w:num w:numId="23" w16cid:durableId="1345746900">
    <w:abstractNumId w:val="6"/>
  </w:num>
  <w:num w:numId="24" w16cid:durableId="1236668811">
    <w:abstractNumId w:val="5"/>
  </w:num>
  <w:num w:numId="25" w16cid:durableId="559174583">
    <w:abstractNumId w:val="21"/>
  </w:num>
  <w:num w:numId="26" w16cid:durableId="1631861864">
    <w:abstractNumId w:val="7"/>
  </w:num>
  <w:num w:numId="27" w16cid:durableId="1518731658">
    <w:abstractNumId w:val="12"/>
  </w:num>
  <w:num w:numId="28" w16cid:durableId="879711809">
    <w:abstractNumId w:val="20"/>
  </w:num>
  <w:num w:numId="29" w16cid:durableId="728848824">
    <w:abstractNumId w:val="11"/>
  </w:num>
  <w:num w:numId="30" w16cid:durableId="13612799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922267"/>
    <w:rsid w:val="00002635"/>
    <w:rsid w:val="00003420"/>
    <w:rsid w:val="000034BB"/>
    <w:rsid w:val="000055BC"/>
    <w:rsid w:val="000072D5"/>
    <w:rsid w:val="00012444"/>
    <w:rsid w:val="00014147"/>
    <w:rsid w:val="00015D81"/>
    <w:rsid w:val="00016656"/>
    <w:rsid w:val="000173FB"/>
    <w:rsid w:val="00017876"/>
    <w:rsid w:val="00021CD5"/>
    <w:rsid w:val="000228E1"/>
    <w:rsid w:val="00022BC9"/>
    <w:rsid w:val="000237A5"/>
    <w:rsid w:val="00026774"/>
    <w:rsid w:val="00026F0A"/>
    <w:rsid w:val="0002797E"/>
    <w:rsid w:val="000364B4"/>
    <w:rsid w:val="000365D7"/>
    <w:rsid w:val="000367CA"/>
    <w:rsid w:val="00043168"/>
    <w:rsid w:val="00043E48"/>
    <w:rsid w:val="00045459"/>
    <w:rsid w:val="00045CA9"/>
    <w:rsid w:val="00046AD0"/>
    <w:rsid w:val="0005175E"/>
    <w:rsid w:val="00052015"/>
    <w:rsid w:val="00052804"/>
    <w:rsid w:val="00054A88"/>
    <w:rsid w:val="00055858"/>
    <w:rsid w:val="000567DF"/>
    <w:rsid w:val="00057040"/>
    <w:rsid w:val="00057F69"/>
    <w:rsid w:val="0006042D"/>
    <w:rsid w:val="00060783"/>
    <w:rsid w:val="00061216"/>
    <w:rsid w:val="00074903"/>
    <w:rsid w:val="00081554"/>
    <w:rsid w:val="000837D6"/>
    <w:rsid w:val="0008616B"/>
    <w:rsid w:val="000921D3"/>
    <w:rsid w:val="00095AC4"/>
    <w:rsid w:val="000A094F"/>
    <w:rsid w:val="000A1E5F"/>
    <w:rsid w:val="000A208A"/>
    <w:rsid w:val="000A2218"/>
    <w:rsid w:val="000A25EE"/>
    <w:rsid w:val="000A325A"/>
    <w:rsid w:val="000A797D"/>
    <w:rsid w:val="000B1CE4"/>
    <w:rsid w:val="000B7C50"/>
    <w:rsid w:val="000C1DE6"/>
    <w:rsid w:val="000C69C9"/>
    <w:rsid w:val="000D2CF5"/>
    <w:rsid w:val="000D335E"/>
    <w:rsid w:val="000D4E87"/>
    <w:rsid w:val="000D6539"/>
    <w:rsid w:val="000E1755"/>
    <w:rsid w:val="000E2AE8"/>
    <w:rsid w:val="000E3893"/>
    <w:rsid w:val="000F00F4"/>
    <w:rsid w:val="000F3358"/>
    <w:rsid w:val="000F5D4E"/>
    <w:rsid w:val="00103477"/>
    <w:rsid w:val="00107558"/>
    <w:rsid w:val="00114C70"/>
    <w:rsid w:val="0011571C"/>
    <w:rsid w:val="001174C6"/>
    <w:rsid w:val="0012134B"/>
    <w:rsid w:val="0012194F"/>
    <w:rsid w:val="001250AE"/>
    <w:rsid w:val="00125A08"/>
    <w:rsid w:val="00125DF9"/>
    <w:rsid w:val="00126718"/>
    <w:rsid w:val="00127125"/>
    <w:rsid w:val="00130D35"/>
    <w:rsid w:val="00131FC2"/>
    <w:rsid w:val="00132C6E"/>
    <w:rsid w:val="00142E75"/>
    <w:rsid w:val="00145C6C"/>
    <w:rsid w:val="00146DF5"/>
    <w:rsid w:val="00146E4E"/>
    <w:rsid w:val="001502A3"/>
    <w:rsid w:val="00156C53"/>
    <w:rsid w:val="00157036"/>
    <w:rsid w:val="00160C48"/>
    <w:rsid w:val="0016693F"/>
    <w:rsid w:val="001718F9"/>
    <w:rsid w:val="001737A0"/>
    <w:rsid w:val="00182B48"/>
    <w:rsid w:val="00185FF4"/>
    <w:rsid w:val="001868D0"/>
    <w:rsid w:val="00186D21"/>
    <w:rsid w:val="00186F8C"/>
    <w:rsid w:val="0019002F"/>
    <w:rsid w:val="00190CE2"/>
    <w:rsid w:val="0019336E"/>
    <w:rsid w:val="00194D20"/>
    <w:rsid w:val="001A10C6"/>
    <w:rsid w:val="001A41DF"/>
    <w:rsid w:val="001A7143"/>
    <w:rsid w:val="001B0D6C"/>
    <w:rsid w:val="001B1E8D"/>
    <w:rsid w:val="001B3459"/>
    <w:rsid w:val="001C0B4F"/>
    <w:rsid w:val="001C7FC1"/>
    <w:rsid w:val="001D2CEB"/>
    <w:rsid w:val="001D56B9"/>
    <w:rsid w:val="001D650F"/>
    <w:rsid w:val="001E2BEB"/>
    <w:rsid w:val="001E5917"/>
    <w:rsid w:val="001E5FC2"/>
    <w:rsid w:val="001E6046"/>
    <w:rsid w:val="001E674B"/>
    <w:rsid w:val="001F1EAF"/>
    <w:rsid w:val="001F26C0"/>
    <w:rsid w:val="001F4124"/>
    <w:rsid w:val="001F54EB"/>
    <w:rsid w:val="00202768"/>
    <w:rsid w:val="002047F1"/>
    <w:rsid w:val="002069E8"/>
    <w:rsid w:val="00207C81"/>
    <w:rsid w:val="0021061E"/>
    <w:rsid w:val="00210F52"/>
    <w:rsid w:val="00211093"/>
    <w:rsid w:val="00213DCC"/>
    <w:rsid w:val="00222F51"/>
    <w:rsid w:val="00223898"/>
    <w:rsid w:val="00224853"/>
    <w:rsid w:val="00224B71"/>
    <w:rsid w:val="00225480"/>
    <w:rsid w:val="00225E85"/>
    <w:rsid w:val="00230D68"/>
    <w:rsid w:val="00235267"/>
    <w:rsid w:val="002434BA"/>
    <w:rsid w:val="00244124"/>
    <w:rsid w:val="0024594E"/>
    <w:rsid w:val="00246D41"/>
    <w:rsid w:val="00247950"/>
    <w:rsid w:val="00247F80"/>
    <w:rsid w:val="00250073"/>
    <w:rsid w:val="00252B43"/>
    <w:rsid w:val="00256A9A"/>
    <w:rsid w:val="00256C33"/>
    <w:rsid w:val="00260058"/>
    <w:rsid w:val="002619A4"/>
    <w:rsid w:val="002619BB"/>
    <w:rsid w:val="002622B5"/>
    <w:rsid w:val="00264F5A"/>
    <w:rsid w:val="00266C02"/>
    <w:rsid w:val="00270839"/>
    <w:rsid w:val="002714F7"/>
    <w:rsid w:val="00271B90"/>
    <w:rsid w:val="0027253F"/>
    <w:rsid w:val="00272A18"/>
    <w:rsid w:val="00273BCE"/>
    <w:rsid w:val="002747D8"/>
    <w:rsid w:val="0027494B"/>
    <w:rsid w:val="0027608B"/>
    <w:rsid w:val="00277B6D"/>
    <w:rsid w:val="00281D0B"/>
    <w:rsid w:val="002827A8"/>
    <w:rsid w:val="00282C15"/>
    <w:rsid w:val="00284C4C"/>
    <w:rsid w:val="00286D85"/>
    <w:rsid w:val="00290316"/>
    <w:rsid w:val="002907A2"/>
    <w:rsid w:val="002913A6"/>
    <w:rsid w:val="00292E23"/>
    <w:rsid w:val="002950B1"/>
    <w:rsid w:val="002A6470"/>
    <w:rsid w:val="002A7D81"/>
    <w:rsid w:val="002B220E"/>
    <w:rsid w:val="002B2486"/>
    <w:rsid w:val="002B3278"/>
    <w:rsid w:val="002B5B3E"/>
    <w:rsid w:val="002B6446"/>
    <w:rsid w:val="002C14ED"/>
    <w:rsid w:val="002C1F11"/>
    <w:rsid w:val="002C39F4"/>
    <w:rsid w:val="002C4525"/>
    <w:rsid w:val="002C49DB"/>
    <w:rsid w:val="002D0C0C"/>
    <w:rsid w:val="002D1BEA"/>
    <w:rsid w:val="002D2B35"/>
    <w:rsid w:val="002D3745"/>
    <w:rsid w:val="002D37C7"/>
    <w:rsid w:val="002D5DDC"/>
    <w:rsid w:val="002D65B3"/>
    <w:rsid w:val="002E1EDA"/>
    <w:rsid w:val="002E32BA"/>
    <w:rsid w:val="002E35CF"/>
    <w:rsid w:val="002E3C27"/>
    <w:rsid w:val="002E4473"/>
    <w:rsid w:val="002E6300"/>
    <w:rsid w:val="002F09EA"/>
    <w:rsid w:val="002F3512"/>
    <w:rsid w:val="002F4800"/>
    <w:rsid w:val="002F75FD"/>
    <w:rsid w:val="00306A3F"/>
    <w:rsid w:val="0031451D"/>
    <w:rsid w:val="0031454C"/>
    <w:rsid w:val="00315EE0"/>
    <w:rsid w:val="003173C0"/>
    <w:rsid w:val="0032200D"/>
    <w:rsid w:val="00322716"/>
    <w:rsid w:val="00323DE4"/>
    <w:rsid w:val="00325DC1"/>
    <w:rsid w:val="003272D1"/>
    <w:rsid w:val="00330BB1"/>
    <w:rsid w:val="00332E74"/>
    <w:rsid w:val="00335307"/>
    <w:rsid w:val="0033C7E0"/>
    <w:rsid w:val="0034383C"/>
    <w:rsid w:val="003460F9"/>
    <w:rsid w:val="00347155"/>
    <w:rsid w:val="00353760"/>
    <w:rsid w:val="0035652D"/>
    <w:rsid w:val="0035710E"/>
    <w:rsid w:val="00363B66"/>
    <w:rsid w:val="00371E0B"/>
    <w:rsid w:val="00373AB6"/>
    <w:rsid w:val="003825AC"/>
    <w:rsid w:val="00384292"/>
    <w:rsid w:val="003856F1"/>
    <w:rsid w:val="00386B16"/>
    <w:rsid w:val="00387FF8"/>
    <w:rsid w:val="00390409"/>
    <w:rsid w:val="003A2FE6"/>
    <w:rsid w:val="003B6C84"/>
    <w:rsid w:val="003C6ADE"/>
    <w:rsid w:val="003C73A6"/>
    <w:rsid w:val="003D4BEA"/>
    <w:rsid w:val="003E0565"/>
    <w:rsid w:val="003E0C01"/>
    <w:rsid w:val="003E1813"/>
    <w:rsid w:val="003E2C7E"/>
    <w:rsid w:val="003E677A"/>
    <w:rsid w:val="003F0D2E"/>
    <w:rsid w:val="003F0F7E"/>
    <w:rsid w:val="003F1166"/>
    <w:rsid w:val="003F13F2"/>
    <w:rsid w:val="003F3783"/>
    <w:rsid w:val="003F5C55"/>
    <w:rsid w:val="00400150"/>
    <w:rsid w:val="004018E3"/>
    <w:rsid w:val="004039B7"/>
    <w:rsid w:val="00405777"/>
    <w:rsid w:val="004057C5"/>
    <w:rsid w:val="00413CE2"/>
    <w:rsid w:val="00417502"/>
    <w:rsid w:val="00417EC8"/>
    <w:rsid w:val="00421922"/>
    <w:rsid w:val="00422C4D"/>
    <w:rsid w:val="00422CA3"/>
    <w:rsid w:val="00424F65"/>
    <w:rsid w:val="00427123"/>
    <w:rsid w:val="00432BE5"/>
    <w:rsid w:val="00434A67"/>
    <w:rsid w:val="004351AD"/>
    <w:rsid w:val="00437672"/>
    <w:rsid w:val="004379F1"/>
    <w:rsid w:val="00441B3D"/>
    <w:rsid w:val="00445087"/>
    <w:rsid w:val="004452C3"/>
    <w:rsid w:val="00452C49"/>
    <w:rsid w:val="00453C8F"/>
    <w:rsid w:val="0045422B"/>
    <w:rsid w:val="00455F99"/>
    <w:rsid w:val="00460241"/>
    <w:rsid w:val="00460434"/>
    <w:rsid w:val="004615C7"/>
    <w:rsid w:val="0046473F"/>
    <w:rsid w:val="00464FDB"/>
    <w:rsid w:val="00465ED1"/>
    <w:rsid w:val="004663F1"/>
    <w:rsid w:val="00467DB5"/>
    <w:rsid w:val="00471CFD"/>
    <w:rsid w:val="00472980"/>
    <w:rsid w:val="0047574C"/>
    <w:rsid w:val="00481849"/>
    <w:rsid w:val="00481D32"/>
    <w:rsid w:val="00486131"/>
    <w:rsid w:val="0048627C"/>
    <w:rsid w:val="0048629C"/>
    <w:rsid w:val="00487624"/>
    <w:rsid w:val="004900E5"/>
    <w:rsid w:val="004926E1"/>
    <w:rsid w:val="004939CB"/>
    <w:rsid w:val="004954DE"/>
    <w:rsid w:val="00496EBC"/>
    <w:rsid w:val="004A08D1"/>
    <w:rsid w:val="004A1CF4"/>
    <w:rsid w:val="004A53C0"/>
    <w:rsid w:val="004A771A"/>
    <w:rsid w:val="004A7A2A"/>
    <w:rsid w:val="004B2FCD"/>
    <w:rsid w:val="004B5A66"/>
    <w:rsid w:val="004C2751"/>
    <w:rsid w:val="004C2906"/>
    <w:rsid w:val="004C3427"/>
    <w:rsid w:val="004C50FD"/>
    <w:rsid w:val="004D437F"/>
    <w:rsid w:val="004D5FF6"/>
    <w:rsid w:val="004E3041"/>
    <w:rsid w:val="004F0529"/>
    <w:rsid w:val="004F61E4"/>
    <w:rsid w:val="004F7528"/>
    <w:rsid w:val="004F7C6A"/>
    <w:rsid w:val="0050536B"/>
    <w:rsid w:val="00505D63"/>
    <w:rsid w:val="005065E1"/>
    <w:rsid w:val="0051228E"/>
    <w:rsid w:val="0051470B"/>
    <w:rsid w:val="00514F18"/>
    <w:rsid w:val="00515AD9"/>
    <w:rsid w:val="00517481"/>
    <w:rsid w:val="00521AAC"/>
    <w:rsid w:val="005223BB"/>
    <w:rsid w:val="00524761"/>
    <w:rsid w:val="0052632E"/>
    <w:rsid w:val="00541616"/>
    <w:rsid w:val="00543868"/>
    <w:rsid w:val="00543F81"/>
    <w:rsid w:val="00546545"/>
    <w:rsid w:val="00547D6C"/>
    <w:rsid w:val="0055293B"/>
    <w:rsid w:val="00552D6F"/>
    <w:rsid w:val="00557455"/>
    <w:rsid w:val="00560262"/>
    <w:rsid w:val="005633C0"/>
    <w:rsid w:val="00565C11"/>
    <w:rsid w:val="00565E36"/>
    <w:rsid w:val="005702B3"/>
    <w:rsid w:val="0057257F"/>
    <w:rsid w:val="0057294C"/>
    <w:rsid w:val="00572EA8"/>
    <w:rsid w:val="00577692"/>
    <w:rsid w:val="0058010D"/>
    <w:rsid w:val="005808B8"/>
    <w:rsid w:val="0058121B"/>
    <w:rsid w:val="00582F5E"/>
    <w:rsid w:val="0058636B"/>
    <w:rsid w:val="005872B8"/>
    <w:rsid w:val="005903F4"/>
    <w:rsid w:val="005921E0"/>
    <w:rsid w:val="005934D1"/>
    <w:rsid w:val="0059420D"/>
    <w:rsid w:val="00594FD3"/>
    <w:rsid w:val="005A0B22"/>
    <w:rsid w:val="005A1969"/>
    <w:rsid w:val="005A1E6E"/>
    <w:rsid w:val="005A221F"/>
    <w:rsid w:val="005A2349"/>
    <w:rsid w:val="005A5B18"/>
    <w:rsid w:val="005A72BD"/>
    <w:rsid w:val="005B3EEA"/>
    <w:rsid w:val="005B7C24"/>
    <w:rsid w:val="005C1E3A"/>
    <w:rsid w:val="005C20C7"/>
    <w:rsid w:val="005C3464"/>
    <w:rsid w:val="005C4426"/>
    <w:rsid w:val="005C5A9F"/>
    <w:rsid w:val="005C7A40"/>
    <w:rsid w:val="005D20E5"/>
    <w:rsid w:val="005D2A69"/>
    <w:rsid w:val="005D60D5"/>
    <w:rsid w:val="005D764B"/>
    <w:rsid w:val="005E7016"/>
    <w:rsid w:val="005F1F3D"/>
    <w:rsid w:val="005F21D4"/>
    <w:rsid w:val="005F32E7"/>
    <w:rsid w:val="0061128E"/>
    <w:rsid w:val="0061172D"/>
    <w:rsid w:val="006148FF"/>
    <w:rsid w:val="00614C08"/>
    <w:rsid w:val="006157C8"/>
    <w:rsid w:val="00621EE6"/>
    <w:rsid w:val="00622149"/>
    <w:rsid w:val="00624C2A"/>
    <w:rsid w:val="006264C9"/>
    <w:rsid w:val="0062729D"/>
    <w:rsid w:val="00627461"/>
    <w:rsid w:val="00627596"/>
    <w:rsid w:val="00631B94"/>
    <w:rsid w:val="00631F35"/>
    <w:rsid w:val="006325D0"/>
    <w:rsid w:val="006330F0"/>
    <w:rsid w:val="0063321D"/>
    <w:rsid w:val="00633E95"/>
    <w:rsid w:val="006410F4"/>
    <w:rsid w:val="00641C6E"/>
    <w:rsid w:val="006458A2"/>
    <w:rsid w:val="00652AF7"/>
    <w:rsid w:val="00656F08"/>
    <w:rsid w:val="00657704"/>
    <w:rsid w:val="00657981"/>
    <w:rsid w:val="006610AC"/>
    <w:rsid w:val="0066402C"/>
    <w:rsid w:val="00664B7C"/>
    <w:rsid w:val="00670020"/>
    <w:rsid w:val="006700E2"/>
    <w:rsid w:val="00671576"/>
    <w:rsid w:val="00672070"/>
    <w:rsid w:val="00673E70"/>
    <w:rsid w:val="00674E14"/>
    <w:rsid w:val="006758D2"/>
    <w:rsid w:val="006762EC"/>
    <w:rsid w:val="00680282"/>
    <w:rsid w:val="0068312B"/>
    <w:rsid w:val="00684E89"/>
    <w:rsid w:val="00685860"/>
    <w:rsid w:val="00685E65"/>
    <w:rsid w:val="0068656B"/>
    <w:rsid w:val="0068713A"/>
    <w:rsid w:val="00687149"/>
    <w:rsid w:val="00696221"/>
    <w:rsid w:val="0069638A"/>
    <w:rsid w:val="006A1C4C"/>
    <w:rsid w:val="006A2157"/>
    <w:rsid w:val="006A32BD"/>
    <w:rsid w:val="006A3677"/>
    <w:rsid w:val="006A7B87"/>
    <w:rsid w:val="006B1A50"/>
    <w:rsid w:val="006B1C83"/>
    <w:rsid w:val="006B40C3"/>
    <w:rsid w:val="006B41CB"/>
    <w:rsid w:val="006B6D57"/>
    <w:rsid w:val="006C002C"/>
    <w:rsid w:val="006C3676"/>
    <w:rsid w:val="006C371A"/>
    <w:rsid w:val="006D5B42"/>
    <w:rsid w:val="006D5BC0"/>
    <w:rsid w:val="006E775C"/>
    <w:rsid w:val="006F0899"/>
    <w:rsid w:val="006F1C6C"/>
    <w:rsid w:val="006F660D"/>
    <w:rsid w:val="00701ECD"/>
    <w:rsid w:val="0070589D"/>
    <w:rsid w:val="00706B3E"/>
    <w:rsid w:val="007132E2"/>
    <w:rsid w:val="00715013"/>
    <w:rsid w:val="00720433"/>
    <w:rsid w:val="007216DC"/>
    <w:rsid w:val="007230F8"/>
    <w:rsid w:val="007232DA"/>
    <w:rsid w:val="00723FE9"/>
    <w:rsid w:val="00724609"/>
    <w:rsid w:val="007253DE"/>
    <w:rsid w:val="00727F15"/>
    <w:rsid w:val="00731D16"/>
    <w:rsid w:val="007414B4"/>
    <w:rsid w:val="007440D9"/>
    <w:rsid w:val="007471C3"/>
    <w:rsid w:val="00747A76"/>
    <w:rsid w:val="00750CDE"/>
    <w:rsid w:val="007528A5"/>
    <w:rsid w:val="00753AD3"/>
    <w:rsid w:val="007548F0"/>
    <w:rsid w:val="007573AC"/>
    <w:rsid w:val="00763F6D"/>
    <w:rsid w:val="007707A1"/>
    <w:rsid w:val="0077296D"/>
    <w:rsid w:val="007745FD"/>
    <w:rsid w:val="00776462"/>
    <w:rsid w:val="007853B9"/>
    <w:rsid w:val="00790141"/>
    <w:rsid w:val="007909A3"/>
    <w:rsid w:val="007941B0"/>
    <w:rsid w:val="0079455B"/>
    <w:rsid w:val="0079621A"/>
    <w:rsid w:val="00797E51"/>
    <w:rsid w:val="007A5D77"/>
    <w:rsid w:val="007B590B"/>
    <w:rsid w:val="007B5B22"/>
    <w:rsid w:val="007C2548"/>
    <w:rsid w:val="007C25EF"/>
    <w:rsid w:val="007C2F7F"/>
    <w:rsid w:val="007C3534"/>
    <w:rsid w:val="007C3A30"/>
    <w:rsid w:val="007C3F32"/>
    <w:rsid w:val="007C64E2"/>
    <w:rsid w:val="007C6BFE"/>
    <w:rsid w:val="007D2BD3"/>
    <w:rsid w:val="007E03E7"/>
    <w:rsid w:val="007E11CE"/>
    <w:rsid w:val="007F28FF"/>
    <w:rsid w:val="007F3B33"/>
    <w:rsid w:val="00814BBF"/>
    <w:rsid w:val="008208F4"/>
    <w:rsid w:val="00822956"/>
    <w:rsid w:val="00823537"/>
    <w:rsid w:val="00823D88"/>
    <w:rsid w:val="008251BA"/>
    <w:rsid w:val="00825E78"/>
    <w:rsid w:val="00831FA3"/>
    <w:rsid w:val="008352A3"/>
    <w:rsid w:val="00835E17"/>
    <w:rsid w:val="008414EE"/>
    <w:rsid w:val="00841556"/>
    <w:rsid w:val="008442FF"/>
    <w:rsid w:val="008444D6"/>
    <w:rsid w:val="00850700"/>
    <w:rsid w:val="00856AD4"/>
    <w:rsid w:val="00863517"/>
    <w:rsid w:val="00867069"/>
    <w:rsid w:val="00874522"/>
    <w:rsid w:val="00874A17"/>
    <w:rsid w:val="008755C9"/>
    <w:rsid w:val="00875E2C"/>
    <w:rsid w:val="00876478"/>
    <w:rsid w:val="00876A77"/>
    <w:rsid w:val="00876BE6"/>
    <w:rsid w:val="008806FA"/>
    <w:rsid w:val="00884165"/>
    <w:rsid w:val="0088574E"/>
    <w:rsid w:val="00885FBD"/>
    <w:rsid w:val="008869C2"/>
    <w:rsid w:val="0089041D"/>
    <w:rsid w:val="00891656"/>
    <w:rsid w:val="00891ABD"/>
    <w:rsid w:val="008995DF"/>
    <w:rsid w:val="008A239A"/>
    <w:rsid w:val="008A2ABB"/>
    <w:rsid w:val="008A5BD1"/>
    <w:rsid w:val="008B041D"/>
    <w:rsid w:val="008B0E34"/>
    <w:rsid w:val="008B1052"/>
    <w:rsid w:val="008B1D4E"/>
    <w:rsid w:val="008B3C1C"/>
    <w:rsid w:val="008B44BC"/>
    <w:rsid w:val="008B5B67"/>
    <w:rsid w:val="008B60E6"/>
    <w:rsid w:val="008B692B"/>
    <w:rsid w:val="008B76D9"/>
    <w:rsid w:val="008C2051"/>
    <w:rsid w:val="008D3717"/>
    <w:rsid w:val="008D5DAE"/>
    <w:rsid w:val="008E22AF"/>
    <w:rsid w:val="008E5106"/>
    <w:rsid w:val="008E5F23"/>
    <w:rsid w:val="008E6588"/>
    <w:rsid w:val="008F12A2"/>
    <w:rsid w:val="008F2BE0"/>
    <w:rsid w:val="008F371A"/>
    <w:rsid w:val="008F4464"/>
    <w:rsid w:val="008F5C85"/>
    <w:rsid w:val="008F64C4"/>
    <w:rsid w:val="00901432"/>
    <w:rsid w:val="00901F46"/>
    <w:rsid w:val="00903F6C"/>
    <w:rsid w:val="00907EBF"/>
    <w:rsid w:val="00910C49"/>
    <w:rsid w:val="00911B52"/>
    <w:rsid w:val="00911C4F"/>
    <w:rsid w:val="009131C7"/>
    <w:rsid w:val="009145D2"/>
    <w:rsid w:val="00917A57"/>
    <w:rsid w:val="00917EFD"/>
    <w:rsid w:val="00920015"/>
    <w:rsid w:val="0092203F"/>
    <w:rsid w:val="00922A39"/>
    <w:rsid w:val="00923151"/>
    <w:rsid w:val="0092354C"/>
    <w:rsid w:val="00925542"/>
    <w:rsid w:val="009319F9"/>
    <w:rsid w:val="00934A4A"/>
    <w:rsid w:val="00937625"/>
    <w:rsid w:val="00942D40"/>
    <w:rsid w:val="009457B6"/>
    <w:rsid w:val="009460AE"/>
    <w:rsid w:val="00972901"/>
    <w:rsid w:val="009743A6"/>
    <w:rsid w:val="00974DA0"/>
    <w:rsid w:val="00975891"/>
    <w:rsid w:val="009773FC"/>
    <w:rsid w:val="0098123A"/>
    <w:rsid w:val="00986D9C"/>
    <w:rsid w:val="009909B1"/>
    <w:rsid w:val="0099594E"/>
    <w:rsid w:val="00997309"/>
    <w:rsid w:val="009A0508"/>
    <w:rsid w:val="009A2657"/>
    <w:rsid w:val="009A3F13"/>
    <w:rsid w:val="009A4293"/>
    <w:rsid w:val="009A541A"/>
    <w:rsid w:val="009A6C53"/>
    <w:rsid w:val="009B1330"/>
    <w:rsid w:val="009B5C56"/>
    <w:rsid w:val="009B5C73"/>
    <w:rsid w:val="009B6468"/>
    <w:rsid w:val="009C012C"/>
    <w:rsid w:val="009C2880"/>
    <w:rsid w:val="009D412A"/>
    <w:rsid w:val="009D71CE"/>
    <w:rsid w:val="009E0119"/>
    <w:rsid w:val="009E0631"/>
    <w:rsid w:val="009E0847"/>
    <w:rsid w:val="009E131F"/>
    <w:rsid w:val="009E334D"/>
    <w:rsid w:val="009E47CE"/>
    <w:rsid w:val="009E5BD0"/>
    <w:rsid w:val="009E69BB"/>
    <w:rsid w:val="009F2FA1"/>
    <w:rsid w:val="009F3471"/>
    <w:rsid w:val="00A02BD6"/>
    <w:rsid w:val="00A04240"/>
    <w:rsid w:val="00A05319"/>
    <w:rsid w:val="00A0571D"/>
    <w:rsid w:val="00A05F26"/>
    <w:rsid w:val="00A12E2E"/>
    <w:rsid w:val="00A14AA7"/>
    <w:rsid w:val="00A15A89"/>
    <w:rsid w:val="00A203CF"/>
    <w:rsid w:val="00A2181F"/>
    <w:rsid w:val="00A22044"/>
    <w:rsid w:val="00A2348B"/>
    <w:rsid w:val="00A26FF7"/>
    <w:rsid w:val="00A33269"/>
    <w:rsid w:val="00A34E98"/>
    <w:rsid w:val="00A35BAB"/>
    <w:rsid w:val="00A360ED"/>
    <w:rsid w:val="00A368B5"/>
    <w:rsid w:val="00A426D2"/>
    <w:rsid w:val="00A50F17"/>
    <w:rsid w:val="00A52DA3"/>
    <w:rsid w:val="00A5518A"/>
    <w:rsid w:val="00A6016E"/>
    <w:rsid w:val="00A60246"/>
    <w:rsid w:val="00A73FE8"/>
    <w:rsid w:val="00A740DE"/>
    <w:rsid w:val="00A743A4"/>
    <w:rsid w:val="00A74929"/>
    <w:rsid w:val="00A76693"/>
    <w:rsid w:val="00A76A2B"/>
    <w:rsid w:val="00A864A9"/>
    <w:rsid w:val="00A86B0A"/>
    <w:rsid w:val="00A94F37"/>
    <w:rsid w:val="00A96C22"/>
    <w:rsid w:val="00AA1910"/>
    <w:rsid w:val="00AA4673"/>
    <w:rsid w:val="00AB0952"/>
    <w:rsid w:val="00AB5AD5"/>
    <w:rsid w:val="00AB715D"/>
    <w:rsid w:val="00AC2F8F"/>
    <w:rsid w:val="00AC3174"/>
    <w:rsid w:val="00AC3318"/>
    <w:rsid w:val="00AC351A"/>
    <w:rsid w:val="00AD5305"/>
    <w:rsid w:val="00AD5C9F"/>
    <w:rsid w:val="00AD5E76"/>
    <w:rsid w:val="00AD678C"/>
    <w:rsid w:val="00AD7E95"/>
    <w:rsid w:val="00AF3DA0"/>
    <w:rsid w:val="00AF56A5"/>
    <w:rsid w:val="00AF7448"/>
    <w:rsid w:val="00B021F7"/>
    <w:rsid w:val="00B03159"/>
    <w:rsid w:val="00B06516"/>
    <w:rsid w:val="00B113AA"/>
    <w:rsid w:val="00B16673"/>
    <w:rsid w:val="00B16C4E"/>
    <w:rsid w:val="00B17E49"/>
    <w:rsid w:val="00B222F4"/>
    <w:rsid w:val="00B23780"/>
    <w:rsid w:val="00B23C39"/>
    <w:rsid w:val="00B26BC8"/>
    <w:rsid w:val="00B26DDE"/>
    <w:rsid w:val="00B27653"/>
    <w:rsid w:val="00B34D7F"/>
    <w:rsid w:val="00B4074F"/>
    <w:rsid w:val="00B4264F"/>
    <w:rsid w:val="00B51743"/>
    <w:rsid w:val="00B51BC4"/>
    <w:rsid w:val="00B52385"/>
    <w:rsid w:val="00B523D9"/>
    <w:rsid w:val="00B52ABD"/>
    <w:rsid w:val="00B601EB"/>
    <w:rsid w:val="00B62D1F"/>
    <w:rsid w:val="00B64487"/>
    <w:rsid w:val="00B658CA"/>
    <w:rsid w:val="00B72040"/>
    <w:rsid w:val="00B73C23"/>
    <w:rsid w:val="00B74664"/>
    <w:rsid w:val="00B813B0"/>
    <w:rsid w:val="00B819D0"/>
    <w:rsid w:val="00B82534"/>
    <w:rsid w:val="00B97307"/>
    <w:rsid w:val="00B973B7"/>
    <w:rsid w:val="00BA7DEC"/>
    <w:rsid w:val="00BB45D9"/>
    <w:rsid w:val="00BB5899"/>
    <w:rsid w:val="00BB6A09"/>
    <w:rsid w:val="00BC0235"/>
    <w:rsid w:val="00BC1C6C"/>
    <w:rsid w:val="00BC265F"/>
    <w:rsid w:val="00BC29D8"/>
    <w:rsid w:val="00BD035E"/>
    <w:rsid w:val="00BD6AB6"/>
    <w:rsid w:val="00BE453E"/>
    <w:rsid w:val="00BE5DBE"/>
    <w:rsid w:val="00BE7179"/>
    <w:rsid w:val="00BF1535"/>
    <w:rsid w:val="00BF6BD5"/>
    <w:rsid w:val="00BF79EF"/>
    <w:rsid w:val="00C031EA"/>
    <w:rsid w:val="00C04383"/>
    <w:rsid w:val="00C0763F"/>
    <w:rsid w:val="00C10944"/>
    <w:rsid w:val="00C119A8"/>
    <w:rsid w:val="00C156A1"/>
    <w:rsid w:val="00C1688B"/>
    <w:rsid w:val="00C2224D"/>
    <w:rsid w:val="00C22884"/>
    <w:rsid w:val="00C237CC"/>
    <w:rsid w:val="00C24A8F"/>
    <w:rsid w:val="00C2518F"/>
    <w:rsid w:val="00C31119"/>
    <w:rsid w:val="00C324C8"/>
    <w:rsid w:val="00C32E36"/>
    <w:rsid w:val="00C4045B"/>
    <w:rsid w:val="00C414FE"/>
    <w:rsid w:val="00C41EC1"/>
    <w:rsid w:val="00C4408B"/>
    <w:rsid w:val="00C45E07"/>
    <w:rsid w:val="00C53995"/>
    <w:rsid w:val="00C555A5"/>
    <w:rsid w:val="00C57418"/>
    <w:rsid w:val="00C622E1"/>
    <w:rsid w:val="00C63936"/>
    <w:rsid w:val="00C66977"/>
    <w:rsid w:val="00C70DA1"/>
    <w:rsid w:val="00C7393B"/>
    <w:rsid w:val="00C741C8"/>
    <w:rsid w:val="00C742C2"/>
    <w:rsid w:val="00C74312"/>
    <w:rsid w:val="00C77CA2"/>
    <w:rsid w:val="00C8092D"/>
    <w:rsid w:val="00C83588"/>
    <w:rsid w:val="00C85285"/>
    <w:rsid w:val="00C865AA"/>
    <w:rsid w:val="00C8706A"/>
    <w:rsid w:val="00C87497"/>
    <w:rsid w:val="00C87E9F"/>
    <w:rsid w:val="00C91672"/>
    <w:rsid w:val="00C91EF9"/>
    <w:rsid w:val="00C9491B"/>
    <w:rsid w:val="00C957F6"/>
    <w:rsid w:val="00CA1706"/>
    <w:rsid w:val="00CB6326"/>
    <w:rsid w:val="00CB650B"/>
    <w:rsid w:val="00CB6F48"/>
    <w:rsid w:val="00CC0B09"/>
    <w:rsid w:val="00CC12F2"/>
    <w:rsid w:val="00CC1BA5"/>
    <w:rsid w:val="00CC1CF4"/>
    <w:rsid w:val="00CC2550"/>
    <w:rsid w:val="00CC5DDF"/>
    <w:rsid w:val="00CC7DE0"/>
    <w:rsid w:val="00CD588F"/>
    <w:rsid w:val="00CD5BD6"/>
    <w:rsid w:val="00CD6623"/>
    <w:rsid w:val="00CD6CDF"/>
    <w:rsid w:val="00D02578"/>
    <w:rsid w:val="00D03759"/>
    <w:rsid w:val="00D05ADB"/>
    <w:rsid w:val="00D07940"/>
    <w:rsid w:val="00D14E1A"/>
    <w:rsid w:val="00D164EA"/>
    <w:rsid w:val="00D178EE"/>
    <w:rsid w:val="00D17A18"/>
    <w:rsid w:val="00D2002E"/>
    <w:rsid w:val="00D22D7B"/>
    <w:rsid w:val="00D23BA1"/>
    <w:rsid w:val="00D24F0E"/>
    <w:rsid w:val="00D259B8"/>
    <w:rsid w:val="00D260E0"/>
    <w:rsid w:val="00D2725C"/>
    <w:rsid w:val="00D27815"/>
    <w:rsid w:val="00D27A53"/>
    <w:rsid w:val="00D311B3"/>
    <w:rsid w:val="00D32A3B"/>
    <w:rsid w:val="00D33A57"/>
    <w:rsid w:val="00D406EB"/>
    <w:rsid w:val="00D44046"/>
    <w:rsid w:val="00D46C8B"/>
    <w:rsid w:val="00D5313A"/>
    <w:rsid w:val="00D54EE3"/>
    <w:rsid w:val="00D55C6C"/>
    <w:rsid w:val="00D57B2F"/>
    <w:rsid w:val="00D63570"/>
    <w:rsid w:val="00D637C6"/>
    <w:rsid w:val="00D65DF4"/>
    <w:rsid w:val="00D679AC"/>
    <w:rsid w:val="00D70678"/>
    <w:rsid w:val="00D7236A"/>
    <w:rsid w:val="00D73A32"/>
    <w:rsid w:val="00D86346"/>
    <w:rsid w:val="00D87159"/>
    <w:rsid w:val="00D87A0E"/>
    <w:rsid w:val="00D92695"/>
    <w:rsid w:val="00D9685C"/>
    <w:rsid w:val="00D976A9"/>
    <w:rsid w:val="00DA176D"/>
    <w:rsid w:val="00DA5469"/>
    <w:rsid w:val="00DB2611"/>
    <w:rsid w:val="00DB4DC2"/>
    <w:rsid w:val="00DB5C03"/>
    <w:rsid w:val="00DB5DD5"/>
    <w:rsid w:val="00DC0B52"/>
    <w:rsid w:val="00DC1E16"/>
    <w:rsid w:val="00DC2F6C"/>
    <w:rsid w:val="00DC3793"/>
    <w:rsid w:val="00DC59A7"/>
    <w:rsid w:val="00DC5ED3"/>
    <w:rsid w:val="00DC7085"/>
    <w:rsid w:val="00DD5F36"/>
    <w:rsid w:val="00DDE05F"/>
    <w:rsid w:val="00DE005D"/>
    <w:rsid w:val="00DF251B"/>
    <w:rsid w:val="00DF31B8"/>
    <w:rsid w:val="00DF7A9F"/>
    <w:rsid w:val="00E007C4"/>
    <w:rsid w:val="00E02845"/>
    <w:rsid w:val="00E02F2B"/>
    <w:rsid w:val="00E056B8"/>
    <w:rsid w:val="00E07E35"/>
    <w:rsid w:val="00E11294"/>
    <w:rsid w:val="00E11F4C"/>
    <w:rsid w:val="00E127C5"/>
    <w:rsid w:val="00E14414"/>
    <w:rsid w:val="00E16664"/>
    <w:rsid w:val="00E24B2A"/>
    <w:rsid w:val="00E27839"/>
    <w:rsid w:val="00E2D6BD"/>
    <w:rsid w:val="00E30B92"/>
    <w:rsid w:val="00E33910"/>
    <w:rsid w:val="00E43641"/>
    <w:rsid w:val="00E465DF"/>
    <w:rsid w:val="00E53D9E"/>
    <w:rsid w:val="00E5641C"/>
    <w:rsid w:val="00E60128"/>
    <w:rsid w:val="00E60D17"/>
    <w:rsid w:val="00E637A3"/>
    <w:rsid w:val="00E64B0D"/>
    <w:rsid w:val="00E661D7"/>
    <w:rsid w:val="00E67320"/>
    <w:rsid w:val="00E7442A"/>
    <w:rsid w:val="00E74FC8"/>
    <w:rsid w:val="00E77E53"/>
    <w:rsid w:val="00E82FA9"/>
    <w:rsid w:val="00E85794"/>
    <w:rsid w:val="00E87507"/>
    <w:rsid w:val="00E92086"/>
    <w:rsid w:val="00E92295"/>
    <w:rsid w:val="00E94222"/>
    <w:rsid w:val="00EA09E6"/>
    <w:rsid w:val="00EA210C"/>
    <w:rsid w:val="00EA2992"/>
    <w:rsid w:val="00EA2ABF"/>
    <w:rsid w:val="00EA317C"/>
    <w:rsid w:val="00EA52B1"/>
    <w:rsid w:val="00EB0304"/>
    <w:rsid w:val="00EB1254"/>
    <w:rsid w:val="00EB28AC"/>
    <w:rsid w:val="00EB773D"/>
    <w:rsid w:val="00EC0044"/>
    <w:rsid w:val="00EC1445"/>
    <w:rsid w:val="00EC151E"/>
    <w:rsid w:val="00EC422A"/>
    <w:rsid w:val="00EC4676"/>
    <w:rsid w:val="00ED0BD0"/>
    <w:rsid w:val="00ED392E"/>
    <w:rsid w:val="00ED41E1"/>
    <w:rsid w:val="00ED4DAA"/>
    <w:rsid w:val="00ED5644"/>
    <w:rsid w:val="00ED5675"/>
    <w:rsid w:val="00ED728A"/>
    <w:rsid w:val="00EE0DC9"/>
    <w:rsid w:val="00EE0F00"/>
    <w:rsid w:val="00EE10B4"/>
    <w:rsid w:val="00EF1060"/>
    <w:rsid w:val="00EF17DF"/>
    <w:rsid w:val="00F0020B"/>
    <w:rsid w:val="00F01818"/>
    <w:rsid w:val="00F01ED6"/>
    <w:rsid w:val="00F05F94"/>
    <w:rsid w:val="00F1179F"/>
    <w:rsid w:val="00F119DF"/>
    <w:rsid w:val="00F11F4C"/>
    <w:rsid w:val="00F1252E"/>
    <w:rsid w:val="00F13286"/>
    <w:rsid w:val="00F13DEB"/>
    <w:rsid w:val="00F13FD5"/>
    <w:rsid w:val="00F142DA"/>
    <w:rsid w:val="00F17E33"/>
    <w:rsid w:val="00F20073"/>
    <w:rsid w:val="00F2169E"/>
    <w:rsid w:val="00F222BC"/>
    <w:rsid w:val="00F239AB"/>
    <w:rsid w:val="00F240B8"/>
    <w:rsid w:val="00F31F35"/>
    <w:rsid w:val="00F339B6"/>
    <w:rsid w:val="00F33AA2"/>
    <w:rsid w:val="00F36669"/>
    <w:rsid w:val="00F37352"/>
    <w:rsid w:val="00F4341A"/>
    <w:rsid w:val="00F44002"/>
    <w:rsid w:val="00F46036"/>
    <w:rsid w:val="00F47268"/>
    <w:rsid w:val="00F47BA7"/>
    <w:rsid w:val="00F47F8F"/>
    <w:rsid w:val="00F518B7"/>
    <w:rsid w:val="00F542B4"/>
    <w:rsid w:val="00F57F76"/>
    <w:rsid w:val="00F64055"/>
    <w:rsid w:val="00F656BF"/>
    <w:rsid w:val="00F66951"/>
    <w:rsid w:val="00F679D9"/>
    <w:rsid w:val="00F80BE4"/>
    <w:rsid w:val="00F81C55"/>
    <w:rsid w:val="00F82FD0"/>
    <w:rsid w:val="00F8370A"/>
    <w:rsid w:val="00F83FCB"/>
    <w:rsid w:val="00F8650F"/>
    <w:rsid w:val="00F86FF2"/>
    <w:rsid w:val="00F91508"/>
    <w:rsid w:val="00F96BF0"/>
    <w:rsid w:val="00F97582"/>
    <w:rsid w:val="00FA5F6B"/>
    <w:rsid w:val="00FA62F5"/>
    <w:rsid w:val="00FB28A1"/>
    <w:rsid w:val="00FB6965"/>
    <w:rsid w:val="00FB7D48"/>
    <w:rsid w:val="00FC2AA2"/>
    <w:rsid w:val="00FC4379"/>
    <w:rsid w:val="00FD0333"/>
    <w:rsid w:val="00FD5745"/>
    <w:rsid w:val="00FE08B5"/>
    <w:rsid w:val="00FE49D8"/>
    <w:rsid w:val="00FE6CCC"/>
    <w:rsid w:val="00FF01FA"/>
    <w:rsid w:val="00FF0E6F"/>
    <w:rsid w:val="00FF23C3"/>
    <w:rsid w:val="00FF6AC0"/>
    <w:rsid w:val="00FF7821"/>
    <w:rsid w:val="012BD70D"/>
    <w:rsid w:val="016F1CB6"/>
    <w:rsid w:val="021315B7"/>
    <w:rsid w:val="02287A94"/>
    <w:rsid w:val="022B0C5A"/>
    <w:rsid w:val="0234DE3A"/>
    <w:rsid w:val="0287F987"/>
    <w:rsid w:val="02AF42F6"/>
    <w:rsid w:val="02C7A76E"/>
    <w:rsid w:val="0418ED1D"/>
    <w:rsid w:val="04368537"/>
    <w:rsid w:val="048D7D59"/>
    <w:rsid w:val="04B4958C"/>
    <w:rsid w:val="04C8BBE4"/>
    <w:rsid w:val="05147150"/>
    <w:rsid w:val="0520C8A8"/>
    <w:rsid w:val="05292191"/>
    <w:rsid w:val="0549289C"/>
    <w:rsid w:val="0612B923"/>
    <w:rsid w:val="0631F690"/>
    <w:rsid w:val="063F3919"/>
    <w:rsid w:val="06B80D15"/>
    <w:rsid w:val="072056B7"/>
    <w:rsid w:val="0757DE8C"/>
    <w:rsid w:val="07F4E156"/>
    <w:rsid w:val="0850DC48"/>
    <w:rsid w:val="09922267"/>
    <w:rsid w:val="09A646AC"/>
    <w:rsid w:val="09B90EE2"/>
    <w:rsid w:val="0A0C504F"/>
    <w:rsid w:val="0AD4EF6F"/>
    <w:rsid w:val="0B7366A4"/>
    <w:rsid w:val="0BD2F557"/>
    <w:rsid w:val="0C0D7B0A"/>
    <w:rsid w:val="0C180596"/>
    <w:rsid w:val="0CD9556F"/>
    <w:rsid w:val="0CEB1A94"/>
    <w:rsid w:val="0DF3EC05"/>
    <w:rsid w:val="0E325963"/>
    <w:rsid w:val="0E5029E9"/>
    <w:rsid w:val="0E634FC5"/>
    <w:rsid w:val="0E7EE0FC"/>
    <w:rsid w:val="0F26DDE3"/>
    <w:rsid w:val="0F637B8A"/>
    <w:rsid w:val="0FEE0FBD"/>
    <w:rsid w:val="1020310A"/>
    <w:rsid w:val="1028B0BC"/>
    <w:rsid w:val="10540EA0"/>
    <w:rsid w:val="1066098D"/>
    <w:rsid w:val="10F5F6BC"/>
    <w:rsid w:val="11D08E8B"/>
    <w:rsid w:val="11DE008E"/>
    <w:rsid w:val="12179F88"/>
    <w:rsid w:val="128D0BEC"/>
    <w:rsid w:val="12A4455A"/>
    <w:rsid w:val="12E670F7"/>
    <w:rsid w:val="136D5501"/>
    <w:rsid w:val="13AF63D3"/>
    <w:rsid w:val="140B378F"/>
    <w:rsid w:val="14E9F66D"/>
    <w:rsid w:val="15200AB9"/>
    <w:rsid w:val="1604F508"/>
    <w:rsid w:val="17CB2B25"/>
    <w:rsid w:val="183EC11B"/>
    <w:rsid w:val="186CD3B7"/>
    <w:rsid w:val="193C95CA"/>
    <w:rsid w:val="19785615"/>
    <w:rsid w:val="1980F090"/>
    <w:rsid w:val="19B709DB"/>
    <w:rsid w:val="1A079738"/>
    <w:rsid w:val="1A87DD8F"/>
    <w:rsid w:val="1A8A26CE"/>
    <w:rsid w:val="1AA8A585"/>
    <w:rsid w:val="1B775896"/>
    <w:rsid w:val="1B7A59C4"/>
    <w:rsid w:val="1B7D34D7"/>
    <w:rsid w:val="1BB237EA"/>
    <w:rsid w:val="1BB424E7"/>
    <w:rsid w:val="1C33F993"/>
    <w:rsid w:val="1C5B0E2F"/>
    <w:rsid w:val="1C793B6A"/>
    <w:rsid w:val="1DBEE658"/>
    <w:rsid w:val="1DFBC1E9"/>
    <w:rsid w:val="1E5A3E0F"/>
    <w:rsid w:val="1EF018E3"/>
    <w:rsid w:val="1F085BCF"/>
    <w:rsid w:val="1F088EA0"/>
    <w:rsid w:val="1F3DE640"/>
    <w:rsid w:val="1FCF0AB9"/>
    <w:rsid w:val="20A241B7"/>
    <w:rsid w:val="21110BB4"/>
    <w:rsid w:val="2130A9C4"/>
    <w:rsid w:val="2130F232"/>
    <w:rsid w:val="2158E50E"/>
    <w:rsid w:val="216C5033"/>
    <w:rsid w:val="21A1D4E7"/>
    <w:rsid w:val="220B07EF"/>
    <w:rsid w:val="22564082"/>
    <w:rsid w:val="22938093"/>
    <w:rsid w:val="22CAA429"/>
    <w:rsid w:val="22DEDD15"/>
    <w:rsid w:val="233F0965"/>
    <w:rsid w:val="23B7D0A8"/>
    <w:rsid w:val="23CF34BF"/>
    <w:rsid w:val="241539B6"/>
    <w:rsid w:val="2464A113"/>
    <w:rsid w:val="24831112"/>
    <w:rsid w:val="24DA9F56"/>
    <w:rsid w:val="254F5A96"/>
    <w:rsid w:val="257BED39"/>
    <w:rsid w:val="2580B9C9"/>
    <w:rsid w:val="25D1138E"/>
    <w:rsid w:val="25ED7F75"/>
    <w:rsid w:val="260F0762"/>
    <w:rsid w:val="263F2D0D"/>
    <w:rsid w:val="26DA8798"/>
    <w:rsid w:val="27536343"/>
    <w:rsid w:val="275A26DC"/>
    <w:rsid w:val="27B4B657"/>
    <w:rsid w:val="280F5A1E"/>
    <w:rsid w:val="2815C6B0"/>
    <w:rsid w:val="2828B8EB"/>
    <w:rsid w:val="289FC9A6"/>
    <w:rsid w:val="28AC1659"/>
    <w:rsid w:val="28F467D5"/>
    <w:rsid w:val="2922B686"/>
    <w:rsid w:val="29542BCB"/>
    <w:rsid w:val="296DA411"/>
    <w:rsid w:val="2A3506C0"/>
    <w:rsid w:val="2AB98FF3"/>
    <w:rsid w:val="2B0247D8"/>
    <w:rsid w:val="2C11FDD6"/>
    <w:rsid w:val="2C1A5D86"/>
    <w:rsid w:val="2C97A8F0"/>
    <w:rsid w:val="2CA3B3EC"/>
    <w:rsid w:val="2DDDFC71"/>
    <w:rsid w:val="2DDF68FD"/>
    <w:rsid w:val="2E5E2F3F"/>
    <w:rsid w:val="2EE84635"/>
    <w:rsid w:val="2F138204"/>
    <w:rsid w:val="2F259206"/>
    <w:rsid w:val="2F602889"/>
    <w:rsid w:val="30E3EDB5"/>
    <w:rsid w:val="313C1E7C"/>
    <w:rsid w:val="31E0C753"/>
    <w:rsid w:val="32457264"/>
    <w:rsid w:val="3273F47E"/>
    <w:rsid w:val="32811577"/>
    <w:rsid w:val="3312CEB8"/>
    <w:rsid w:val="33D43670"/>
    <w:rsid w:val="33E8A122"/>
    <w:rsid w:val="3453958C"/>
    <w:rsid w:val="35703905"/>
    <w:rsid w:val="35F65672"/>
    <w:rsid w:val="35F992C0"/>
    <w:rsid w:val="363C52B0"/>
    <w:rsid w:val="37864B43"/>
    <w:rsid w:val="37E07459"/>
    <w:rsid w:val="38D37CFE"/>
    <w:rsid w:val="38EA2957"/>
    <w:rsid w:val="39221BA4"/>
    <w:rsid w:val="396357B3"/>
    <w:rsid w:val="3A336143"/>
    <w:rsid w:val="3A577335"/>
    <w:rsid w:val="3B11A023"/>
    <w:rsid w:val="3B3B0F9F"/>
    <w:rsid w:val="3B7A580E"/>
    <w:rsid w:val="3BBBA3E4"/>
    <w:rsid w:val="3BBE5D06"/>
    <w:rsid w:val="3C45CA44"/>
    <w:rsid w:val="3C59BC66"/>
    <w:rsid w:val="3CA6F945"/>
    <w:rsid w:val="3DA16A34"/>
    <w:rsid w:val="3DC1456A"/>
    <w:rsid w:val="3DF58CC7"/>
    <w:rsid w:val="3E02BC11"/>
    <w:rsid w:val="3E0855E2"/>
    <w:rsid w:val="3E19D0EA"/>
    <w:rsid w:val="3E4FBFE1"/>
    <w:rsid w:val="3E990E94"/>
    <w:rsid w:val="3F4C8011"/>
    <w:rsid w:val="3F6DF165"/>
    <w:rsid w:val="3F994AAE"/>
    <w:rsid w:val="3FE61F84"/>
    <w:rsid w:val="3FE97D04"/>
    <w:rsid w:val="3FFEECF3"/>
    <w:rsid w:val="400D1EEA"/>
    <w:rsid w:val="40B7FAE8"/>
    <w:rsid w:val="40DDDE97"/>
    <w:rsid w:val="41CA533D"/>
    <w:rsid w:val="4211FEFB"/>
    <w:rsid w:val="42225B95"/>
    <w:rsid w:val="4222FA9C"/>
    <w:rsid w:val="43A65743"/>
    <w:rsid w:val="43C14968"/>
    <w:rsid w:val="447068F4"/>
    <w:rsid w:val="44EA89E9"/>
    <w:rsid w:val="4506888B"/>
    <w:rsid w:val="45A1ECA9"/>
    <w:rsid w:val="45DBD294"/>
    <w:rsid w:val="45F476B7"/>
    <w:rsid w:val="4637697F"/>
    <w:rsid w:val="4664391C"/>
    <w:rsid w:val="4698322C"/>
    <w:rsid w:val="46A4436A"/>
    <w:rsid w:val="46C68CBA"/>
    <w:rsid w:val="476180B0"/>
    <w:rsid w:val="4777A2F5"/>
    <w:rsid w:val="47FC499E"/>
    <w:rsid w:val="4802FE46"/>
    <w:rsid w:val="480B8EB8"/>
    <w:rsid w:val="4819B558"/>
    <w:rsid w:val="481C35F0"/>
    <w:rsid w:val="48286AFD"/>
    <w:rsid w:val="48601DA9"/>
    <w:rsid w:val="4862DC38"/>
    <w:rsid w:val="48D63E1D"/>
    <w:rsid w:val="490B24EF"/>
    <w:rsid w:val="495094C7"/>
    <w:rsid w:val="49C45C21"/>
    <w:rsid w:val="4AC73974"/>
    <w:rsid w:val="4ADBFD55"/>
    <w:rsid w:val="4AF291A5"/>
    <w:rsid w:val="4B151A8C"/>
    <w:rsid w:val="4BC21070"/>
    <w:rsid w:val="4C56E20E"/>
    <w:rsid w:val="4C6E07FE"/>
    <w:rsid w:val="4C92615D"/>
    <w:rsid w:val="4D89F9F5"/>
    <w:rsid w:val="4E4CBB4E"/>
    <w:rsid w:val="4E92F4EE"/>
    <w:rsid w:val="4EB068C1"/>
    <w:rsid w:val="4EFAF7C0"/>
    <w:rsid w:val="4FA6C513"/>
    <w:rsid w:val="4FAF6E78"/>
    <w:rsid w:val="503C91E2"/>
    <w:rsid w:val="51A2B3F3"/>
    <w:rsid w:val="52484684"/>
    <w:rsid w:val="52A11CDE"/>
    <w:rsid w:val="52CFA0E9"/>
    <w:rsid w:val="5311A4F5"/>
    <w:rsid w:val="53200017"/>
    <w:rsid w:val="533234FF"/>
    <w:rsid w:val="53475C2E"/>
    <w:rsid w:val="549B0853"/>
    <w:rsid w:val="54ADEF20"/>
    <w:rsid w:val="54D2EDD7"/>
    <w:rsid w:val="54EDC5A8"/>
    <w:rsid w:val="55283950"/>
    <w:rsid w:val="556FA024"/>
    <w:rsid w:val="55F9BD7E"/>
    <w:rsid w:val="562BF919"/>
    <w:rsid w:val="5636D8B4"/>
    <w:rsid w:val="56762516"/>
    <w:rsid w:val="57A5E4B5"/>
    <w:rsid w:val="57D01BA7"/>
    <w:rsid w:val="581DE942"/>
    <w:rsid w:val="587238D1"/>
    <w:rsid w:val="58C7B92E"/>
    <w:rsid w:val="593182C6"/>
    <w:rsid w:val="5A30EB54"/>
    <w:rsid w:val="5A45B0CA"/>
    <w:rsid w:val="5A4F1B4D"/>
    <w:rsid w:val="5A7A2726"/>
    <w:rsid w:val="5AE5E23C"/>
    <w:rsid w:val="5B11FF4A"/>
    <w:rsid w:val="5B5D072C"/>
    <w:rsid w:val="5BB5728E"/>
    <w:rsid w:val="5C69865F"/>
    <w:rsid w:val="5CC6CE96"/>
    <w:rsid w:val="5CD298A1"/>
    <w:rsid w:val="5D3BD278"/>
    <w:rsid w:val="5D688C16"/>
    <w:rsid w:val="5D9B2A51"/>
    <w:rsid w:val="5E90D6FE"/>
    <w:rsid w:val="5E94A7EE"/>
    <w:rsid w:val="5FB56596"/>
    <w:rsid w:val="5FD03041"/>
    <w:rsid w:val="5FE61346"/>
    <w:rsid w:val="603E4425"/>
    <w:rsid w:val="604276F4"/>
    <w:rsid w:val="606B5D25"/>
    <w:rsid w:val="60A75D38"/>
    <w:rsid w:val="611F9D17"/>
    <w:rsid w:val="6128A47F"/>
    <w:rsid w:val="613E2672"/>
    <w:rsid w:val="6205CBC9"/>
    <w:rsid w:val="631E4B80"/>
    <w:rsid w:val="6358F9B5"/>
    <w:rsid w:val="63A16F77"/>
    <w:rsid w:val="63A74809"/>
    <w:rsid w:val="63B94C2E"/>
    <w:rsid w:val="63C980D2"/>
    <w:rsid w:val="63CBDF93"/>
    <w:rsid w:val="63CEE8B6"/>
    <w:rsid w:val="643D991A"/>
    <w:rsid w:val="645DF600"/>
    <w:rsid w:val="6494DA57"/>
    <w:rsid w:val="64E0018D"/>
    <w:rsid w:val="65ACBB32"/>
    <w:rsid w:val="65C76E2B"/>
    <w:rsid w:val="65FF5D85"/>
    <w:rsid w:val="667BD1EE"/>
    <w:rsid w:val="66A7A759"/>
    <w:rsid w:val="67988348"/>
    <w:rsid w:val="67B11C88"/>
    <w:rsid w:val="67BFCB85"/>
    <w:rsid w:val="67DEBDAC"/>
    <w:rsid w:val="680C7607"/>
    <w:rsid w:val="682E9F00"/>
    <w:rsid w:val="68A834A5"/>
    <w:rsid w:val="68C2F553"/>
    <w:rsid w:val="690829D4"/>
    <w:rsid w:val="6973F299"/>
    <w:rsid w:val="69D19FEB"/>
    <w:rsid w:val="6A023207"/>
    <w:rsid w:val="6A61CED8"/>
    <w:rsid w:val="6ACB0946"/>
    <w:rsid w:val="6AFB6E8E"/>
    <w:rsid w:val="6B7B187C"/>
    <w:rsid w:val="6B87995E"/>
    <w:rsid w:val="6B9E0268"/>
    <w:rsid w:val="6BDFAB47"/>
    <w:rsid w:val="6C1D6B40"/>
    <w:rsid w:val="6C52DF78"/>
    <w:rsid w:val="6D2823D5"/>
    <w:rsid w:val="6DB75F51"/>
    <w:rsid w:val="6E1EF5DD"/>
    <w:rsid w:val="6E2A6400"/>
    <w:rsid w:val="6E2AD1E6"/>
    <w:rsid w:val="6E39EEEC"/>
    <w:rsid w:val="6E404DE6"/>
    <w:rsid w:val="6EB2B93E"/>
    <w:rsid w:val="6EFD7EF6"/>
    <w:rsid w:val="6F12F81A"/>
    <w:rsid w:val="6F3B0C0F"/>
    <w:rsid w:val="6F49E17F"/>
    <w:rsid w:val="6FEB93E3"/>
    <w:rsid w:val="70471193"/>
    <w:rsid w:val="7093DEBA"/>
    <w:rsid w:val="70E495DA"/>
    <w:rsid w:val="717285D0"/>
    <w:rsid w:val="72161147"/>
    <w:rsid w:val="721F58BA"/>
    <w:rsid w:val="72646423"/>
    <w:rsid w:val="7284E4C2"/>
    <w:rsid w:val="72C7E278"/>
    <w:rsid w:val="737C6560"/>
    <w:rsid w:val="74813424"/>
    <w:rsid w:val="74CFEFE6"/>
    <w:rsid w:val="7521FAC2"/>
    <w:rsid w:val="75523E5E"/>
    <w:rsid w:val="7739C82E"/>
    <w:rsid w:val="774DC27E"/>
    <w:rsid w:val="77ECC1E5"/>
    <w:rsid w:val="7842B05D"/>
    <w:rsid w:val="785BF4C8"/>
    <w:rsid w:val="7870155D"/>
    <w:rsid w:val="78944808"/>
    <w:rsid w:val="78FF735F"/>
    <w:rsid w:val="790609A8"/>
    <w:rsid w:val="79121400"/>
    <w:rsid w:val="7991CA34"/>
    <w:rsid w:val="79B990C6"/>
    <w:rsid w:val="79DA5027"/>
    <w:rsid w:val="79F5CA11"/>
    <w:rsid w:val="7A0D1B8C"/>
    <w:rsid w:val="7A884915"/>
    <w:rsid w:val="7ABBDA6C"/>
    <w:rsid w:val="7B315C29"/>
    <w:rsid w:val="7B37CD7E"/>
    <w:rsid w:val="7B53671B"/>
    <w:rsid w:val="7BF2A407"/>
    <w:rsid w:val="7C3BCC43"/>
    <w:rsid w:val="7C5F1D7E"/>
    <w:rsid w:val="7C6744EE"/>
    <w:rsid w:val="7CA83169"/>
    <w:rsid w:val="7CBFE9CE"/>
    <w:rsid w:val="7D3E7EB2"/>
    <w:rsid w:val="7D54ACDF"/>
    <w:rsid w:val="7D6C07D3"/>
    <w:rsid w:val="7DF4364A"/>
    <w:rsid w:val="7E56F6F3"/>
    <w:rsid w:val="7E68BB80"/>
    <w:rsid w:val="7E88D1F5"/>
    <w:rsid w:val="7E99C8DB"/>
    <w:rsid w:val="7EB551A4"/>
    <w:rsid w:val="7F21764E"/>
    <w:rsid w:val="7F80C9A6"/>
    <w:rsid w:val="7FA829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22267"/>
  <w15:chartTrackingRefBased/>
  <w15:docId w15:val="{729FD13D-ABE6-4D40-A463-FF8B007B5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268"/>
  </w:style>
  <w:style w:type="paragraph" w:styleId="Heading1">
    <w:name w:val="heading 1"/>
    <w:basedOn w:val="Normal"/>
    <w:next w:val="Normal"/>
    <w:link w:val="Heading1Char"/>
    <w:uiPriority w:val="9"/>
    <w:qFormat/>
    <w:rsid w:val="007058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700E2"/>
    <w:rPr>
      <w:b/>
      <w:bCs/>
    </w:rPr>
  </w:style>
  <w:style w:type="character" w:customStyle="1" w:styleId="CommentSubjectChar">
    <w:name w:val="Comment Subject Char"/>
    <w:basedOn w:val="CommentTextChar"/>
    <w:link w:val="CommentSubject"/>
    <w:uiPriority w:val="99"/>
    <w:semiHidden/>
    <w:rsid w:val="006700E2"/>
    <w:rPr>
      <w:b/>
      <w:bCs/>
      <w:sz w:val="20"/>
      <w:szCs w:val="20"/>
    </w:rPr>
  </w:style>
  <w:style w:type="character" w:styleId="Hyperlink">
    <w:name w:val="Hyperlink"/>
    <w:basedOn w:val="DefaultParagraphFont"/>
    <w:uiPriority w:val="99"/>
    <w:unhideWhenUsed/>
    <w:rsid w:val="006700E2"/>
    <w:rPr>
      <w:color w:val="0563C1" w:themeColor="hyperlink"/>
      <w:u w:val="single"/>
    </w:rPr>
  </w:style>
  <w:style w:type="character" w:styleId="UnresolvedMention">
    <w:name w:val="Unresolved Mention"/>
    <w:basedOn w:val="DefaultParagraphFont"/>
    <w:uiPriority w:val="99"/>
    <w:semiHidden/>
    <w:unhideWhenUsed/>
    <w:rsid w:val="006700E2"/>
    <w:rPr>
      <w:color w:val="605E5C"/>
      <w:shd w:val="clear" w:color="auto" w:fill="E1DFDD"/>
    </w:rPr>
  </w:style>
  <w:style w:type="paragraph" w:styleId="BalloonText">
    <w:name w:val="Balloon Text"/>
    <w:basedOn w:val="Normal"/>
    <w:link w:val="BalloonTextChar"/>
    <w:uiPriority w:val="99"/>
    <w:semiHidden/>
    <w:unhideWhenUsed/>
    <w:rsid w:val="00142E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E75"/>
    <w:rPr>
      <w:rFonts w:ascii="Segoe UI" w:hAnsi="Segoe UI" w:cs="Segoe UI"/>
      <w:sz w:val="18"/>
      <w:szCs w:val="18"/>
    </w:rPr>
  </w:style>
  <w:style w:type="paragraph" w:styleId="Revision">
    <w:name w:val="Revision"/>
    <w:hidden/>
    <w:uiPriority w:val="99"/>
    <w:semiHidden/>
    <w:rsid w:val="000A325A"/>
    <w:pPr>
      <w:spacing w:after="0" w:line="240" w:lineRule="auto"/>
    </w:pPr>
  </w:style>
  <w:style w:type="character" w:customStyle="1" w:styleId="ui-provider">
    <w:name w:val="ui-provider"/>
    <w:basedOn w:val="DefaultParagraphFont"/>
    <w:rsid w:val="00460241"/>
  </w:style>
  <w:style w:type="character" w:customStyle="1" w:styleId="normaltextrun">
    <w:name w:val="normaltextrun"/>
    <w:basedOn w:val="DefaultParagraphFont"/>
    <w:rsid w:val="00876A77"/>
  </w:style>
  <w:style w:type="character" w:customStyle="1" w:styleId="Heading1Char">
    <w:name w:val="Heading 1 Char"/>
    <w:basedOn w:val="DefaultParagraphFont"/>
    <w:link w:val="Heading1"/>
    <w:uiPriority w:val="9"/>
    <w:rsid w:val="0070589D"/>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7058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F119DF"/>
    <w:rPr>
      <w:rFonts w:ascii="Segoe UI" w:hAnsi="Segoe UI" w:cs="Segoe UI" w:hint="default"/>
      <w:sz w:val="18"/>
      <w:szCs w:val="18"/>
    </w:rPr>
  </w:style>
  <w:style w:type="character" w:customStyle="1" w:styleId="cf11">
    <w:name w:val="cf11"/>
    <w:basedOn w:val="DefaultParagraphFont"/>
    <w:rsid w:val="003272D1"/>
    <w:rPr>
      <w:rFonts w:ascii="Segoe UI" w:hAnsi="Segoe UI" w:cs="Segoe UI" w:hint="default"/>
      <w:sz w:val="18"/>
      <w:szCs w:val="18"/>
      <w:shd w:val="clear" w:color="auto" w:fill="FFFF00"/>
    </w:rPr>
  </w:style>
  <w:style w:type="paragraph" w:customStyle="1" w:styleId="paragraph">
    <w:name w:val="paragraph"/>
    <w:basedOn w:val="Normal"/>
    <w:rsid w:val="00856A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856AD4"/>
  </w:style>
  <w:style w:type="paragraph" w:styleId="Header">
    <w:name w:val="header"/>
    <w:basedOn w:val="Normal"/>
    <w:link w:val="HeaderChar"/>
    <w:uiPriority w:val="99"/>
    <w:unhideWhenUsed/>
    <w:rsid w:val="008208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8F4"/>
  </w:style>
  <w:style w:type="paragraph" w:styleId="Footer">
    <w:name w:val="footer"/>
    <w:basedOn w:val="Normal"/>
    <w:link w:val="FooterChar"/>
    <w:uiPriority w:val="99"/>
    <w:unhideWhenUsed/>
    <w:rsid w:val="008208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8079">
      <w:bodyDiv w:val="1"/>
      <w:marLeft w:val="0"/>
      <w:marRight w:val="0"/>
      <w:marTop w:val="0"/>
      <w:marBottom w:val="0"/>
      <w:divBdr>
        <w:top w:val="none" w:sz="0" w:space="0" w:color="auto"/>
        <w:left w:val="none" w:sz="0" w:space="0" w:color="auto"/>
        <w:bottom w:val="none" w:sz="0" w:space="0" w:color="auto"/>
        <w:right w:val="none" w:sz="0" w:space="0" w:color="auto"/>
      </w:divBdr>
    </w:div>
    <w:div w:id="17126862">
      <w:bodyDiv w:val="1"/>
      <w:marLeft w:val="0"/>
      <w:marRight w:val="0"/>
      <w:marTop w:val="0"/>
      <w:marBottom w:val="0"/>
      <w:divBdr>
        <w:top w:val="none" w:sz="0" w:space="0" w:color="auto"/>
        <w:left w:val="none" w:sz="0" w:space="0" w:color="auto"/>
        <w:bottom w:val="none" w:sz="0" w:space="0" w:color="auto"/>
        <w:right w:val="none" w:sz="0" w:space="0" w:color="auto"/>
      </w:divBdr>
    </w:div>
    <w:div w:id="48774002">
      <w:bodyDiv w:val="1"/>
      <w:marLeft w:val="0"/>
      <w:marRight w:val="0"/>
      <w:marTop w:val="0"/>
      <w:marBottom w:val="0"/>
      <w:divBdr>
        <w:top w:val="none" w:sz="0" w:space="0" w:color="auto"/>
        <w:left w:val="none" w:sz="0" w:space="0" w:color="auto"/>
        <w:bottom w:val="none" w:sz="0" w:space="0" w:color="auto"/>
        <w:right w:val="none" w:sz="0" w:space="0" w:color="auto"/>
      </w:divBdr>
    </w:div>
    <w:div w:id="65694210">
      <w:bodyDiv w:val="1"/>
      <w:marLeft w:val="0"/>
      <w:marRight w:val="0"/>
      <w:marTop w:val="0"/>
      <w:marBottom w:val="0"/>
      <w:divBdr>
        <w:top w:val="none" w:sz="0" w:space="0" w:color="auto"/>
        <w:left w:val="none" w:sz="0" w:space="0" w:color="auto"/>
        <w:bottom w:val="none" w:sz="0" w:space="0" w:color="auto"/>
        <w:right w:val="none" w:sz="0" w:space="0" w:color="auto"/>
      </w:divBdr>
    </w:div>
    <w:div w:id="80688053">
      <w:bodyDiv w:val="1"/>
      <w:marLeft w:val="0"/>
      <w:marRight w:val="0"/>
      <w:marTop w:val="0"/>
      <w:marBottom w:val="0"/>
      <w:divBdr>
        <w:top w:val="none" w:sz="0" w:space="0" w:color="auto"/>
        <w:left w:val="none" w:sz="0" w:space="0" w:color="auto"/>
        <w:bottom w:val="none" w:sz="0" w:space="0" w:color="auto"/>
        <w:right w:val="none" w:sz="0" w:space="0" w:color="auto"/>
      </w:divBdr>
    </w:div>
    <w:div w:id="100877194">
      <w:bodyDiv w:val="1"/>
      <w:marLeft w:val="0"/>
      <w:marRight w:val="0"/>
      <w:marTop w:val="0"/>
      <w:marBottom w:val="0"/>
      <w:divBdr>
        <w:top w:val="none" w:sz="0" w:space="0" w:color="auto"/>
        <w:left w:val="none" w:sz="0" w:space="0" w:color="auto"/>
        <w:bottom w:val="none" w:sz="0" w:space="0" w:color="auto"/>
        <w:right w:val="none" w:sz="0" w:space="0" w:color="auto"/>
      </w:divBdr>
    </w:div>
    <w:div w:id="113838430">
      <w:bodyDiv w:val="1"/>
      <w:marLeft w:val="0"/>
      <w:marRight w:val="0"/>
      <w:marTop w:val="0"/>
      <w:marBottom w:val="0"/>
      <w:divBdr>
        <w:top w:val="none" w:sz="0" w:space="0" w:color="auto"/>
        <w:left w:val="none" w:sz="0" w:space="0" w:color="auto"/>
        <w:bottom w:val="none" w:sz="0" w:space="0" w:color="auto"/>
        <w:right w:val="none" w:sz="0" w:space="0" w:color="auto"/>
      </w:divBdr>
    </w:div>
    <w:div w:id="126436318">
      <w:bodyDiv w:val="1"/>
      <w:marLeft w:val="0"/>
      <w:marRight w:val="0"/>
      <w:marTop w:val="0"/>
      <w:marBottom w:val="0"/>
      <w:divBdr>
        <w:top w:val="none" w:sz="0" w:space="0" w:color="auto"/>
        <w:left w:val="none" w:sz="0" w:space="0" w:color="auto"/>
        <w:bottom w:val="none" w:sz="0" w:space="0" w:color="auto"/>
        <w:right w:val="none" w:sz="0" w:space="0" w:color="auto"/>
      </w:divBdr>
    </w:div>
    <w:div w:id="135463202">
      <w:bodyDiv w:val="1"/>
      <w:marLeft w:val="0"/>
      <w:marRight w:val="0"/>
      <w:marTop w:val="0"/>
      <w:marBottom w:val="0"/>
      <w:divBdr>
        <w:top w:val="none" w:sz="0" w:space="0" w:color="auto"/>
        <w:left w:val="none" w:sz="0" w:space="0" w:color="auto"/>
        <w:bottom w:val="none" w:sz="0" w:space="0" w:color="auto"/>
        <w:right w:val="none" w:sz="0" w:space="0" w:color="auto"/>
      </w:divBdr>
    </w:div>
    <w:div w:id="191920625">
      <w:bodyDiv w:val="1"/>
      <w:marLeft w:val="0"/>
      <w:marRight w:val="0"/>
      <w:marTop w:val="0"/>
      <w:marBottom w:val="0"/>
      <w:divBdr>
        <w:top w:val="none" w:sz="0" w:space="0" w:color="auto"/>
        <w:left w:val="none" w:sz="0" w:space="0" w:color="auto"/>
        <w:bottom w:val="none" w:sz="0" w:space="0" w:color="auto"/>
        <w:right w:val="none" w:sz="0" w:space="0" w:color="auto"/>
      </w:divBdr>
    </w:div>
    <w:div w:id="217133651">
      <w:bodyDiv w:val="1"/>
      <w:marLeft w:val="0"/>
      <w:marRight w:val="0"/>
      <w:marTop w:val="0"/>
      <w:marBottom w:val="0"/>
      <w:divBdr>
        <w:top w:val="none" w:sz="0" w:space="0" w:color="auto"/>
        <w:left w:val="none" w:sz="0" w:space="0" w:color="auto"/>
        <w:bottom w:val="none" w:sz="0" w:space="0" w:color="auto"/>
        <w:right w:val="none" w:sz="0" w:space="0" w:color="auto"/>
      </w:divBdr>
    </w:div>
    <w:div w:id="219486111">
      <w:bodyDiv w:val="1"/>
      <w:marLeft w:val="0"/>
      <w:marRight w:val="0"/>
      <w:marTop w:val="0"/>
      <w:marBottom w:val="0"/>
      <w:divBdr>
        <w:top w:val="none" w:sz="0" w:space="0" w:color="auto"/>
        <w:left w:val="none" w:sz="0" w:space="0" w:color="auto"/>
        <w:bottom w:val="none" w:sz="0" w:space="0" w:color="auto"/>
        <w:right w:val="none" w:sz="0" w:space="0" w:color="auto"/>
      </w:divBdr>
    </w:div>
    <w:div w:id="229124554">
      <w:bodyDiv w:val="1"/>
      <w:marLeft w:val="0"/>
      <w:marRight w:val="0"/>
      <w:marTop w:val="0"/>
      <w:marBottom w:val="0"/>
      <w:divBdr>
        <w:top w:val="none" w:sz="0" w:space="0" w:color="auto"/>
        <w:left w:val="none" w:sz="0" w:space="0" w:color="auto"/>
        <w:bottom w:val="none" w:sz="0" w:space="0" w:color="auto"/>
        <w:right w:val="none" w:sz="0" w:space="0" w:color="auto"/>
      </w:divBdr>
    </w:div>
    <w:div w:id="271938427">
      <w:bodyDiv w:val="1"/>
      <w:marLeft w:val="0"/>
      <w:marRight w:val="0"/>
      <w:marTop w:val="0"/>
      <w:marBottom w:val="0"/>
      <w:divBdr>
        <w:top w:val="none" w:sz="0" w:space="0" w:color="auto"/>
        <w:left w:val="none" w:sz="0" w:space="0" w:color="auto"/>
        <w:bottom w:val="none" w:sz="0" w:space="0" w:color="auto"/>
        <w:right w:val="none" w:sz="0" w:space="0" w:color="auto"/>
      </w:divBdr>
    </w:div>
    <w:div w:id="274145117">
      <w:bodyDiv w:val="1"/>
      <w:marLeft w:val="0"/>
      <w:marRight w:val="0"/>
      <w:marTop w:val="0"/>
      <w:marBottom w:val="0"/>
      <w:divBdr>
        <w:top w:val="none" w:sz="0" w:space="0" w:color="auto"/>
        <w:left w:val="none" w:sz="0" w:space="0" w:color="auto"/>
        <w:bottom w:val="none" w:sz="0" w:space="0" w:color="auto"/>
        <w:right w:val="none" w:sz="0" w:space="0" w:color="auto"/>
      </w:divBdr>
    </w:div>
    <w:div w:id="288557400">
      <w:bodyDiv w:val="1"/>
      <w:marLeft w:val="0"/>
      <w:marRight w:val="0"/>
      <w:marTop w:val="0"/>
      <w:marBottom w:val="0"/>
      <w:divBdr>
        <w:top w:val="none" w:sz="0" w:space="0" w:color="auto"/>
        <w:left w:val="none" w:sz="0" w:space="0" w:color="auto"/>
        <w:bottom w:val="none" w:sz="0" w:space="0" w:color="auto"/>
        <w:right w:val="none" w:sz="0" w:space="0" w:color="auto"/>
      </w:divBdr>
    </w:div>
    <w:div w:id="291400377">
      <w:bodyDiv w:val="1"/>
      <w:marLeft w:val="0"/>
      <w:marRight w:val="0"/>
      <w:marTop w:val="0"/>
      <w:marBottom w:val="0"/>
      <w:divBdr>
        <w:top w:val="none" w:sz="0" w:space="0" w:color="auto"/>
        <w:left w:val="none" w:sz="0" w:space="0" w:color="auto"/>
        <w:bottom w:val="none" w:sz="0" w:space="0" w:color="auto"/>
        <w:right w:val="none" w:sz="0" w:space="0" w:color="auto"/>
      </w:divBdr>
    </w:div>
    <w:div w:id="294331169">
      <w:bodyDiv w:val="1"/>
      <w:marLeft w:val="0"/>
      <w:marRight w:val="0"/>
      <w:marTop w:val="0"/>
      <w:marBottom w:val="0"/>
      <w:divBdr>
        <w:top w:val="none" w:sz="0" w:space="0" w:color="auto"/>
        <w:left w:val="none" w:sz="0" w:space="0" w:color="auto"/>
        <w:bottom w:val="none" w:sz="0" w:space="0" w:color="auto"/>
        <w:right w:val="none" w:sz="0" w:space="0" w:color="auto"/>
      </w:divBdr>
    </w:div>
    <w:div w:id="298807837">
      <w:bodyDiv w:val="1"/>
      <w:marLeft w:val="0"/>
      <w:marRight w:val="0"/>
      <w:marTop w:val="0"/>
      <w:marBottom w:val="0"/>
      <w:divBdr>
        <w:top w:val="none" w:sz="0" w:space="0" w:color="auto"/>
        <w:left w:val="none" w:sz="0" w:space="0" w:color="auto"/>
        <w:bottom w:val="none" w:sz="0" w:space="0" w:color="auto"/>
        <w:right w:val="none" w:sz="0" w:space="0" w:color="auto"/>
      </w:divBdr>
    </w:div>
    <w:div w:id="367530948">
      <w:bodyDiv w:val="1"/>
      <w:marLeft w:val="0"/>
      <w:marRight w:val="0"/>
      <w:marTop w:val="0"/>
      <w:marBottom w:val="0"/>
      <w:divBdr>
        <w:top w:val="none" w:sz="0" w:space="0" w:color="auto"/>
        <w:left w:val="none" w:sz="0" w:space="0" w:color="auto"/>
        <w:bottom w:val="none" w:sz="0" w:space="0" w:color="auto"/>
        <w:right w:val="none" w:sz="0" w:space="0" w:color="auto"/>
      </w:divBdr>
    </w:div>
    <w:div w:id="379020471">
      <w:bodyDiv w:val="1"/>
      <w:marLeft w:val="0"/>
      <w:marRight w:val="0"/>
      <w:marTop w:val="0"/>
      <w:marBottom w:val="0"/>
      <w:divBdr>
        <w:top w:val="none" w:sz="0" w:space="0" w:color="auto"/>
        <w:left w:val="none" w:sz="0" w:space="0" w:color="auto"/>
        <w:bottom w:val="none" w:sz="0" w:space="0" w:color="auto"/>
        <w:right w:val="none" w:sz="0" w:space="0" w:color="auto"/>
      </w:divBdr>
    </w:div>
    <w:div w:id="393702004">
      <w:bodyDiv w:val="1"/>
      <w:marLeft w:val="0"/>
      <w:marRight w:val="0"/>
      <w:marTop w:val="0"/>
      <w:marBottom w:val="0"/>
      <w:divBdr>
        <w:top w:val="none" w:sz="0" w:space="0" w:color="auto"/>
        <w:left w:val="none" w:sz="0" w:space="0" w:color="auto"/>
        <w:bottom w:val="none" w:sz="0" w:space="0" w:color="auto"/>
        <w:right w:val="none" w:sz="0" w:space="0" w:color="auto"/>
      </w:divBdr>
    </w:div>
    <w:div w:id="433206339">
      <w:bodyDiv w:val="1"/>
      <w:marLeft w:val="0"/>
      <w:marRight w:val="0"/>
      <w:marTop w:val="0"/>
      <w:marBottom w:val="0"/>
      <w:divBdr>
        <w:top w:val="none" w:sz="0" w:space="0" w:color="auto"/>
        <w:left w:val="none" w:sz="0" w:space="0" w:color="auto"/>
        <w:bottom w:val="none" w:sz="0" w:space="0" w:color="auto"/>
        <w:right w:val="none" w:sz="0" w:space="0" w:color="auto"/>
      </w:divBdr>
    </w:div>
    <w:div w:id="449907320">
      <w:bodyDiv w:val="1"/>
      <w:marLeft w:val="0"/>
      <w:marRight w:val="0"/>
      <w:marTop w:val="0"/>
      <w:marBottom w:val="0"/>
      <w:divBdr>
        <w:top w:val="none" w:sz="0" w:space="0" w:color="auto"/>
        <w:left w:val="none" w:sz="0" w:space="0" w:color="auto"/>
        <w:bottom w:val="none" w:sz="0" w:space="0" w:color="auto"/>
        <w:right w:val="none" w:sz="0" w:space="0" w:color="auto"/>
      </w:divBdr>
    </w:div>
    <w:div w:id="457844898">
      <w:bodyDiv w:val="1"/>
      <w:marLeft w:val="0"/>
      <w:marRight w:val="0"/>
      <w:marTop w:val="0"/>
      <w:marBottom w:val="0"/>
      <w:divBdr>
        <w:top w:val="none" w:sz="0" w:space="0" w:color="auto"/>
        <w:left w:val="none" w:sz="0" w:space="0" w:color="auto"/>
        <w:bottom w:val="none" w:sz="0" w:space="0" w:color="auto"/>
        <w:right w:val="none" w:sz="0" w:space="0" w:color="auto"/>
      </w:divBdr>
    </w:div>
    <w:div w:id="458841489">
      <w:bodyDiv w:val="1"/>
      <w:marLeft w:val="0"/>
      <w:marRight w:val="0"/>
      <w:marTop w:val="0"/>
      <w:marBottom w:val="0"/>
      <w:divBdr>
        <w:top w:val="none" w:sz="0" w:space="0" w:color="auto"/>
        <w:left w:val="none" w:sz="0" w:space="0" w:color="auto"/>
        <w:bottom w:val="none" w:sz="0" w:space="0" w:color="auto"/>
        <w:right w:val="none" w:sz="0" w:space="0" w:color="auto"/>
      </w:divBdr>
    </w:div>
    <w:div w:id="495922031">
      <w:bodyDiv w:val="1"/>
      <w:marLeft w:val="0"/>
      <w:marRight w:val="0"/>
      <w:marTop w:val="0"/>
      <w:marBottom w:val="0"/>
      <w:divBdr>
        <w:top w:val="none" w:sz="0" w:space="0" w:color="auto"/>
        <w:left w:val="none" w:sz="0" w:space="0" w:color="auto"/>
        <w:bottom w:val="none" w:sz="0" w:space="0" w:color="auto"/>
        <w:right w:val="none" w:sz="0" w:space="0" w:color="auto"/>
      </w:divBdr>
    </w:div>
    <w:div w:id="520510910">
      <w:bodyDiv w:val="1"/>
      <w:marLeft w:val="0"/>
      <w:marRight w:val="0"/>
      <w:marTop w:val="0"/>
      <w:marBottom w:val="0"/>
      <w:divBdr>
        <w:top w:val="none" w:sz="0" w:space="0" w:color="auto"/>
        <w:left w:val="none" w:sz="0" w:space="0" w:color="auto"/>
        <w:bottom w:val="none" w:sz="0" w:space="0" w:color="auto"/>
        <w:right w:val="none" w:sz="0" w:space="0" w:color="auto"/>
      </w:divBdr>
    </w:div>
    <w:div w:id="540285401">
      <w:bodyDiv w:val="1"/>
      <w:marLeft w:val="0"/>
      <w:marRight w:val="0"/>
      <w:marTop w:val="0"/>
      <w:marBottom w:val="0"/>
      <w:divBdr>
        <w:top w:val="none" w:sz="0" w:space="0" w:color="auto"/>
        <w:left w:val="none" w:sz="0" w:space="0" w:color="auto"/>
        <w:bottom w:val="none" w:sz="0" w:space="0" w:color="auto"/>
        <w:right w:val="none" w:sz="0" w:space="0" w:color="auto"/>
      </w:divBdr>
    </w:div>
    <w:div w:id="541986325">
      <w:bodyDiv w:val="1"/>
      <w:marLeft w:val="0"/>
      <w:marRight w:val="0"/>
      <w:marTop w:val="0"/>
      <w:marBottom w:val="0"/>
      <w:divBdr>
        <w:top w:val="none" w:sz="0" w:space="0" w:color="auto"/>
        <w:left w:val="none" w:sz="0" w:space="0" w:color="auto"/>
        <w:bottom w:val="none" w:sz="0" w:space="0" w:color="auto"/>
        <w:right w:val="none" w:sz="0" w:space="0" w:color="auto"/>
      </w:divBdr>
    </w:div>
    <w:div w:id="591357702">
      <w:bodyDiv w:val="1"/>
      <w:marLeft w:val="0"/>
      <w:marRight w:val="0"/>
      <w:marTop w:val="0"/>
      <w:marBottom w:val="0"/>
      <w:divBdr>
        <w:top w:val="none" w:sz="0" w:space="0" w:color="auto"/>
        <w:left w:val="none" w:sz="0" w:space="0" w:color="auto"/>
        <w:bottom w:val="none" w:sz="0" w:space="0" w:color="auto"/>
        <w:right w:val="none" w:sz="0" w:space="0" w:color="auto"/>
      </w:divBdr>
    </w:div>
    <w:div w:id="605499082">
      <w:bodyDiv w:val="1"/>
      <w:marLeft w:val="0"/>
      <w:marRight w:val="0"/>
      <w:marTop w:val="0"/>
      <w:marBottom w:val="0"/>
      <w:divBdr>
        <w:top w:val="none" w:sz="0" w:space="0" w:color="auto"/>
        <w:left w:val="none" w:sz="0" w:space="0" w:color="auto"/>
        <w:bottom w:val="none" w:sz="0" w:space="0" w:color="auto"/>
        <w:right w:val="none" w:sz="0" w:space="0" w:color="auto"/>
      </w:divBdr>
    </w:div>
    <w:div w:id="624047630">
      <w:bodyDiv w:val="1"/>
      <w:marLeft w:val="0"/>
      <w:marRight w:val="0"/>
      <w:marTop w:val="0"/>
      <w:marBottom w:val="0"/>
      <w:divBdr>
        <w:top w:val="none" w:sz="0" w:space="0" w:color="auto"/>
        <w:left w:val="none" w:sz="0" w:space="0" w:color="auto"/>
        <w:bottom w:val="none" w:sz="0" w:space="0" w:color="auto"/>
        <w:right w:val="none" w:sz="0" w:space="0" w:color="auto"/>
      </w:divBdr>
    </w:div>
    <w:div w:id="630674019">
      <w:bodyDiv w:val="1"/>
      <w:marLeft w:val="0"/>
      <w:marRight w:val="0"/>
      <w:marTop w:val="0"/>
      <w:marBottom w:val="0"/>
      <w:divBdr>
        <w:top w:val="none" w:sz="0" w:space="0" w:color="auto"/>
        <w:left w:val="none" w:sz="0" w:space="0" w:color="auto"/>
        <w:bottom w:val="none" w:sz="0" w:space="0" w:color="auto"/>
        <w:right w:val="none" w:sz="0" w:space="0" w:color="auto"/>
      </w:divBdr>
    </w:div>
    <w:div w:id="648293309">
      <w:bodyDiv w:val="1"/>
      <w:marLeft w:val="0"/>
      <w:marRight w:val="0"/>
      <w:marTop w:val="0"/>
      <w:marBottom w:val="0"/>
      <w:divBdr>
        <w:top w:val="none" w:sz="0" w:space="0" w:color="auto"/>
        <w:left w:val="none" w:sz="0" w:space="0" w:color="auto"/>
        <w:bottom w:val="none" w:sz="0" w:space="0" w:color="auto"/>
        <w:right w:val="none" w:sz="0" w:space="0" w:color="auto"/>
      </w:divBdr>
    </w:div>
    <w:div w:id="671759173">
      <w:bodyDiv w:val="1"/>
      <w:marLeft w:val="0"/>
      <w:marRight w:val="0"/>
      <w:marTop w:val="0"/>
      <w:marBottom w:val="0"/>
      <w:divBdr>
        <w:top w:val="none" w:sz="0" w:space="0" w:color="auto"/>
        <w:left w:val="none" w:sz="0" w:space="0" w:color="auto"/>
        <w:bottom w:val="none" w:sz="0" w:space="0" w:color="auto"/>
        <w:right w:val="none" w:sz="0" w:space="0" w:color="auto"/>
      </w:divBdr>
    </w:div>
    <w:div w:id="714161608">
      <w:bodyDiv w:val="1"/>
      <w:marLeft w:val="0"/>
      <w:marRight w:val="0"/>
      <w:marTop w:val="0"/>
      <w:marBottom w:val="0"/>
      <w:divBdr>
        <w:top w:val="none" w:sz="0" w:space="0" w:color="auto"/>
        <w:left w:val="none" w:sz="0" w:space="0" w:color="auto"/>
        <w:bottom w:val="none" w:sz="0" w:space="0" w:color="auto"/>
        <w:right w:val="none" w:sz="0" w:space="0" w:color="auto"/>
      </w:divBdr>
    </w:div>
    <w:div w:id="720785079">
      <w:bodyDiv w:val="1"/>
      <w:marLeft w:val="0"/>
      <w:marRight w:val="0"/>
      <w:marTop w:val="0"/>
      <w:marBottom w:val="0"/>
      <w:divBdr>
        <w:top w:val="none" w:sz="0" w:space="0" w:color="auto"/>
        <w:left w:val="none" w:sz="0" w:space="0" w:color="auto"/>
        <w:bottom w:val="none" w:sz="0" w:space="0" w:color="auto"/>
        <w:right w:val="none" w:sz="0" w:space="0" w:color="auto"/>
      </w:divBdr>
    </w:div>
    <w:div w:id="729616862">
      <w:bodyDiv w:val="1"/>
      <w:marLeft w:val="0"/>
      <w:marRight w:val="0"/>
      <w:marTop w:val="0"/>
      <w:marBottom w:val="0"/>
      <w:divBdr>
        <w:top w:val="none" w:sz="0" w:space="0" w:color="auto"/>
        <w:left w:val="none" w:sz="0" w:space="0" w:color="auto"/>
        <w:bottom w:val="none" w:sz="0" w:space="0" w:color="auto"/>
        <w:right w:val="none" w:sz="0" w:space="0" w:color="auto"/>
      </w:divBdr>
    </w:div>
    <w:div w:id="745878951">
      <w:bodyDiv w:val="1"/>
      <w:marLeft w:val="0"/>
      <w:marRight w:val="0"/>
      <w:marTop w:val="0"/>
      <w:marBottom w:val="0"/>
      <w:divBdr>
        <w:top w:val="none" w:sz="0" w:space="0" w:color="auto"/>
        <w:left w:val="none" w:sz="0" w:space="0" w:color="auto"/>
        <w:bottom w:val="none" w:sz="0" w:space="0" w:color="auto"/>
        <w:right w:val="none" w:sz="0" w:space="0" w:color="auto"/>
      </w:divBdr>
    </w:div>
    <w:div w:id="747848519">
      <w:bodyDiv w:val="1"/>
      <w:marLeft w:val="0"/>
      <w:marRight w:val="0"/>
      <w:marTop w:val="0"/>
      <w:marBottom w:val="0"/>
      <w:divBdr>
        <w:top w:val="none" w:sz="0" w:space="0" w:color="auto"/>
        <w:left w:val="none" w:sz="0" w:space="0" w:color="auto"/>
        <w:bottom w:val="none" w:sz="0" w:space="0" w:color="auto"/>
        <w:right w:val="none" w:sz="0" w:space="0" w:color="auto"/>
      </w:divBdr>
    </w:div>
    <w:div w:id="812134954">
      <w:bodyDiv w:val="1"/>
      <w:marLeft w:val="0"/>
      <w:marRight w:val="0"/>
      <w:marTop w:val="0"/>
      <w:marBottom w:val="0"/>
      <w:divBdr>
        <w:top w:val="none" w:sz="0" w:space="0" w:color="auto"/>
        <w:left w:val="none" w:sz="0" w:space="0" w:color="auto"/>
        <w:bottom w:val="none" w:sz="0" w:space="0" w:color="auto"/>
        <w:right w:val="none" w:sz="0" w:space="0" w:color="auto"/>
      </w:divBdr>
    </w:div>
    <w:div w:id="823351853">
      <w:bodyDiv w:val="1"/>
      <w:marLeft w:val="0"/>
      <w:marRight w:val="0"/>
      <w:marTop w:val="0"/>
      <w:marBottom w:val="0"/>
      <w:divBdr>
        <w:top w:val="none" w:sz="0" w:space="0" w:color="auto"/>
        <w:left w:val="none" w:sz="0" w:space="0" w:color="auto"/>
        <w:bottom w:val="none" w:sz="0" w:space="0" w:color="auto"/>
        <w:right w:val="none" w:sz="0" w:space="0" w:color="auto"/>
      </w:divBdr>
    </w:div>
    <w:div w:id="841893140">
      <w:bodyDiv w:val="1"/>
      <w:marLeft w:val="0"/>
      <w:marRight w:val="0"/>
      <w:marTop w:val="0"/>
      <w:marBottom w:val="0"/>
      <w:divBdr>
        <w:top w:val="none" w:sz="0" w:space="0" w:color="auto"/>
        <w:left w:val="none" w:sz="0" w:space="0" w:color="auto"/>
        <w:bottom w:val="none" w:sz="0" w:space="0" w:color="auto"/>
        <w:right w:val="none" w:sz="0" w:space="0" w:color="auto"/>
      </w:divBdr>
    </w:div>
    <w:div w:id="857892463">
      <w:bodyDiv w:val="1"/>
      <w:marLeft w:val="0"/>
      <w:marRight w:val="0"/>
      <w:marTop w:val="0"/>
      <w:marBottom w:val="0"/>
      <w:divBdr>
        <w:top w:val="none" w:sz="0" w:space="0" w:color="auto"/>
        <w:left w:val="none" w:sz="0" w:space="0" w:color="auto"/>
        <w:bottom w:val="none" w:sz="0" w:space="0" w:color="auto"/>
        <w:right w:val="none" w:sz="0" w:space="0" w:color="auto"/>
      </w:divBdr>
    </w:div>
    <w:div w:id="876164510">
      <w:bodyDiv w:val="1"/>
      <w:marLeft w:val="0"/>
      <w:marRight w:val="0"/>
      <w:marTop w:val="0"/>
      <w:marBottom w:val="0"/>
      <w:divBdr>
        <w:top w:val="none" w:sz="0" w:space="0" w:color="auto"/>
        <w:left w:val="none" w:sz="0" w:space="0" w:color="auto"/>
        <w:bottom w:val="none" w:sz="0" w:space="0" w:color="auto"/>
        <w:right w:val="none" w:sz="0" w:space="0" w:color="auto"/>
      </w:divBdr>
    </w:div>
    <w:div w:id="931232867">
      <w:bodyDiv w:val="1"/>
      <w:marLeft w:val="0"/>
      <w:marRight w:val="0"/>
      <w:marTop w:val="0"/>
      <w:marBottom w:val="0"/>
      <w:divBdr>
        <w:top w:val="none" w:sz="0" w:space="0" w:color="auto"/>
        <w:left w:val="none" w:sz="0" w:space="0" w:color="auto"/>
        <w:bottom w:val="none" w:sz="0" w:space="0" w:color="auto"/>
        <w:right w:val="none" w:sz="0" w:space="0" w:color="auto"/>
      </w:divBdr>
    </w:div>
    <w:div w:id="1120799730">
      <w:bodyDiv w:val="1"/>
      <w:marLeft w:val="0"/>
      <w:marRight w:val="0"/>
      <w:marTop w:val="0"/>
      <w:marBottom w:val="0"/>
      <w:divBdr>
        <w:top w:val="none" w:sz="0" w:space="0" w:color="auto"/>
        <w:left w:val="none" w:sz="0" w:space="0" w:color="auto"/>
        <w:bottom w:val="none" w:sz="0" w:space="0" w:color="auto"/>
        <w:right w:val="none" w:sz="0" w:space="0" w:color="auto"/>
      </w:divBdr>
    </w:div>
    <w:div w:id="1147937030">
      <w:bodyDiv w:val="1"/>
      <w:marLeft w:val="0"/>
      <w:marRight w:val="0"/>
      <w:marTop w:val="0"/>
      <w:marBottom w:val="0"/>
      <w:divBdr>
        <w:top w:val="none" w:sz="0" w:space="0" w:color="auto"/>
        <w:left w:val="none" w:sz="0" w:space="0" w:color="auto"/>
        <w:bottom w:val="none" w:sz="0" w:space="0" w:color="auto"/>
        <w:right w:val="none" w:sz="0" w:space="0" w:color="auto"/>
      </w:divBdr>
    </w:div>
    <w:div w:id="1215896443">
      <w:bodyDiv w:val="1"/>
      <w:marLeft w:val="0"/>
      <w:marRight w:val="0"/>
      <w:marTop w:val="0"/>
      <w:marBottom w:val="0"/>
      <w:divBdr>
        <w:top w:val="none" w:sz="0" w:space="0" w:color="auto"/>
        <w:left w:val="none" w:sz="0" w:space="0" w:color="auto"/>
        <w:bottom w:val="none" w:sz="0" w:space="0" w:color="auto"/>
        <w:right w:val="none" w:sz="0" w:space="0" w:color="auto"/>
      </w:divBdr>
    </w:div>
    <w:div w:id="1323854267">
      <w:bodyDiv w:val="1"/>
      <w:marLeft w:val="0"/>
      <w:marRight w:val="0"/>
      <w:marTop w:val="0"/>
      <w:marBottom w:val="0"/>
      <w:divBdr>
        <w:top w:val="none" w:sz="0" w:space="0" w:color="auto"/>
        <w:left w:val="none" w:sz="0" w:space="0" w:color="auto"/>
        <w:bottom w:val="none" w:sz="0" w:space="0" w:color="auto"/>
        <w:right w:val="none" w:sz="0" w:space="0" w:color="auto"/>
      </w:divBdr>
    </w:div>
    <w:div w:id="1352297215">
      <w:bodyDiv w:val="1"/>
      <w:marLeft w:val="0"/>
      <w:marRight w:val="0"/>
      <w:marTop w:val="0"/>
      <w:marBottom w:val="0"/>
      <w:divBdr>
        <w:top w:val="none" w:sz="0" w:space="0" w:color="auto"/>
        <w:left w:val="none" w:sz="0" w:space="0" w:color="auto"/>
        <w:bottom w:val="none" w:sz="0" w:space="0" w:color="auto"/>
        <w:right w:val="none" w:sz="0" w:space="0" w:color="auto"/>
      </w:divBdr>
    </w:div>
    <w:div w:id="1394163493">
      <w:bodyDiv w:val="1"/>
      <w:marLeft w:val="0"/>
      <w:marRight w:val="0"/>
      <w:marTop w:val="0"/>
      <w:marBottom w:val="0"/>
      <w:divBdr>
        <w:top w:val="none" w:sz="0" w:space="0" w:color="auto"/>
        <w:left w:val="none" w:sz="0" w:space="0" w:color="auto"/>
        <w:bottom w:val="none" w:sz="0" w:space="0" w:color="auto"/>
        <w:right w:val="none" w:sz="0" w:space="0" w:color="auto"/>
      </w:divBdr>
    </w:div>
    <w:div w:id="1399522094">
      <w:bodyDiv w:val="1"/>
      <w:marLeft w:val="0"/>
      <w:marRight w:val="0"/>
      <w:marTop w:val="0"/>
      <w:marBottom w:val="0"/>
      <w:divBdr>
        <w:top w:val="none" w:sz="0" w:space="0" w:color="auto"/>
        <w:left w:val="none" w:sz="0" w:space="0" w:color="auto"/>
        <w:bottom w:val="none" w:sz="0" w:space="0" w:color="auto"/>
        <w:right w:val="none" w:sz="0" w:space="0" w:color="auto"/>
      </w:divBdr>
    </w:div>
    <w:div w:id="1403527215">
      <w:bodyDiv w:val="1"/>
      <w:marLeft w:val="0"/>
      <w:marRight w:val="0"/>
      <w:marTop w:val="0"/>
      <w:marBottom w:val="0"/>
      <w:divBdr>
        <w:top w:val="none" w:sz="0" w:space="0" w:color="auto"/>
        <w:left w:val="none" w:sz="0" w:space="0" w:color="auto"/>
        <w:bottom w:val="none" w:sz="0" w:space="0" w:color="auto"/>
        <w:right w:val="none" w:sz="0" w:space="0" w:color="auto"/>
      </w:divBdr>
    </w:div>
    <w:div w:id="1424571398">
      <w:bodyDiv w:val="1"/>
      <w:marLeft w:val="0"/>
      <w:marRight w:val="0"/>
      <w:marTop w:val="0"/>
      <w:marBottom w:val="0"/>
      <w:divBdr>
        <w:top w:val="none" w:sz="0" w:space="0" w:color="auto"/>
        <w:left w:val="none" w:sz="0" w:space="0" w:color="auto"/>
        <w:bottom w:val="none" w:sz="0" w:space="0" w:color="auto"/>
        <w:right w:val="none" w:sz="0" w:space="0" w:color="auto"/>
      </w:divBdr>
    </w:div>
    <w:div w:id="1449353976">
      <w:bodyDiv w:val="1"/>
      <w:marLeft w:val="0"/>
      <w:marRight w:val="0"/>
      <w:marTop w:val="0"/>
      <w:marBottom w:val="0"/>
      <w:divBdr>
        <w:top w:val="none" w:sz="0" w:space="0" w:color="auto"/>
        <w:left w:val="none" w:sz="0" w:space="0" w:color="auto"/>
        <w:bottom w:val="none" w:sz="0" w:space="0" w:color="auto"/>
        <w:right w:val="none" w:sz="0" w:space="0" w:color="auto"/>
      </w:divBdr>
    </w:div>
    <w:div w:id="1565527047">
      <w:bodyDiv w:val="1"/>
      <w:marLeft w:val="0"/>
      <w:marRight w:val="0"/>
      <w:marTop w:val="0"/>
      <w:marBottom w:val="0"/>
      <w:divBdr>
        <w:top w:val="none" w:sz="0" w:space="0" w:color="auto"/>
        <w:left w:val="none" w:sz="0" w:space="0" w:color="auto"/>
        <w:bottom w:val="none" w:sz="0" w:space="0" w:color="auto"/>
        <w:right w:val="none" w:sz="0" w:space="0" w:color="auto"/>
      </w:divBdr>
    </w:div>
    <w:div w:id="1577668014">
      <w:bodyDiv w:val="1"/>
      <w:marLeft w:val="0"/>
      <w:marRight w:val="0"/>
      <w:marTop w:val="0"/>
      <w:marBottom w:val="0"/>
      <w:divBdr>
        <w:top w:val="none" w:sz="0" w:space="0" w:color="auto"/>
        <w:left w:val="none" w:sz="0" w:space="0" w:color="auto"/>
        <w:bottom w:val="none" w:sz="0" w:space="0" w:color="auto"/>
        <w:right w:val="none" w:sz="0" w:space="0" w:color="auto"/>
      </w:divBdr>
    </w:div>
    <w:div w:id="1593590110">
      <w:bodyDiv w:val="1"/>
      <w:marLeft w:val="0"/>
      <w:marRight w:val="0"/>
      <w:marTop w:val="0"/>
      <w:marBottom w:val="0"/>
      <w:divBdr>
        <w:top w:val="none" w:sz="0" w:space="0" w:color="auto"/>
        <w:left w:val="none" w:sz="0" w:space="0" w:color="auto"/>
        <w:bottom w:val="none" w:sz="0" w:space="0" w:color="auto"/>
        <w:right w:val="none" w:sz="0" w:space="0" w:color="auto"/>
      </w:divBdr>
    </w:div>
    <w:div w:id="1665862261">
      <w:bodyDiv w:val="1"/>
      <w:marLeft w:val="0"/>
      <w:marRight w:val="0"/>
      <w:marTop w:val="0"/>
      <w:marBottom w:val="0"/>
      <w:divBdr>
        <w:top w:val="none" w:sz="0" w:space="0" w:color="auto"/>
        <w:left w:val="none" w:sz="0" w:space="0" w:color="auto"/>
        <w:bottom w:val="none" w:sz="0" w:space="0" w:color="auto"/>
        <w:right w:val="none" w:sz="0" w:space="0" w:color="auto"/>
      </w:divBdr>
    </w:div>
    <w:div w:id="1702587670">
      <w:bodyDiv w:val="1"/>
      <w:marLeft w:val="0"/>
      <w:marRight w:val="0"/>
      <w:marTop w:val="0"/>
      <w:marBottom w:val="0"/>
      <w:divBdr>
        <w:top w:val="none" w:sz="0" w:space="0" w:color="auto"/>
        <w:left w:val="none" w:sz="0" w:space="0" w:color="auto"/>
        <w:bottom w:val="none" w:sz="0" w:space="0" w:color="auto"/>
        <w:right w:val="none" w:sz="0" w:space="0" w:color="auto"/>
      </w:divBdr>
    </w:div>
    <w:div w:id="1765108383">
      <w:bodyDiv w:val="1"/>
      <w:marLeft w:val="0"/>
      <w:marRight w:val="0"/>
      <w:marTop w:val="0"/>
      <w:marBottom w:val="0"/>
      <w:divBdr>
        <w:top w:val="none" w:sz="0" w:space="0" w:color="auto"/>
        <w:left w:val="none" w:sz="0" w:space="0" w:color="auto"/>
        <w:bottom w:val="none" w:sz="0" w:space="0" w:color="auto"/>
        <w:right w:val="none" w:sz="0" w:space="0" w:color="auto"/>
      </w:divBdr>
    </w:div>
    <w:div w:id="1808233546">
      <w:bodyDiv w:val="1"/>
      <w:marLeft w:val="0"/>
      <w:marRight w:val="0"/>
      <w:marTop w:val="0"/>
      <w:marBottom w:val="0"/>
      <w:divBdr>
        <w:top w:val="none" w:sz="0" w:space="0" w:color="auto"/>
        <w:left w:val="none" w:sz="0" w:space="0" w:color="auto"/>
        <w:bottom w:val="none" w:sz="0" w:space="0" w:color="auto"/>
        <w:right w:val="none" w:sz="0" w:space="0" w:color="auto"/>
      </w:divBdr>
    </w:div>
    <w:div w:id="1857573787">
      <w:bodyDiv w:val="1"/>
      <w:marLeft w:val="0"/>
      <w:marRight w:val="0"/>
      <w:marTop w:val="0"/>
      <w:marBottom w:val="0"/>
      <w:divBdr>
        <w:top w:val="none" w:sz="0" w:space="0" w:color="auto"/>
        <w:left w:val="none" w:sz="0" w:space="0" w:color="auto"/>
        <w:bottom w:val="none" w:sz="0" w:space="0" w:color="auto"/>
        <w:right w:val="none" w:sz="0" w:space="0" w:color="auto"/>
      </w:divBdr>
    </w:div>
    <w:div w:id="1887139788">
      <w:bodyDiv w:val="1"/>
      <w:marLeft w:val="0"/>
      <w:marRight w:val="0"/>
      <w:marTop w:val="0"/>
      <w:marBottom w:val="0"/>
      <w:divBdr>
        <w:top w:val="none" w:sz="0" w:space="0" w:color="auto"/>
        <w:left w:val="none" w:sz="0" w:space="0" w:color="auto"/>
        <w:bottom w:val="none" w:sz="0" w:space="0" w:color="auto"/>
        <w:right w:val="none" w:sz="0" w:space="0" w:color="auto"/>
      </w:divBdr>
    </w:div>
    <w:div w:id="1888711735">
      <w:bodyDiv w:val="1"/>
      <w:marLeft w:val="0"/>
      <w:marRight w:val="0"/>
      <w:marTop w:val="0"/>
      <w:marBottom w:val="0"/>
      <w:divBdr>
        <w:top w:val="none" w:sz="0" w:space="0" w:color="auto"/>
        <w:left w:val="none" w:sz="0" w:space="0" w:color="auto"/>
        <w:bottom w:val="none" w:sz="0" w:space="0" w:color="auto"/>
        <w:right w:val="none" w:sz="0" w:space="0" w:color="auto"/>
      </w:divBdr>
    </w:div>
    <w:div w:id="1916091246">
      <w:bodyDiv w:val="1"/>
      <w:marLeft w:val="0"/>
      <w:marRight w:val="0"/>
      <w:marTop w:val="0"/>
      <w:marBottom w:val="0"/>
      <w:divBdr>
        <w:top w:val="none" w:sz="0" w:space="0" w:color="auto"/>
        <w:left w:val="none" w:sz="0" w:space="0" w:color="auto"/>
        <w:bottom w:val="none" w:sz="0" w:space="0" w:color="auto"/>
        <w:right w:val="none" w:sz="0" w:space="0" w:color="auto"/>
      </w:divBdr>
    </w:div>
    <w:div w:id="1968319621">
      <w:bodyDiv w:val="1"/>
      <w:marLeft w:val="0"/>
      <w:marRight w:val="0"/>
      <w:marTop w:val="0"/>
      <w:marBottom w:val="0"/>
      <w:divBdr>
        <w:top w:val="none" w:sz="0" w:space="0" w:color="auto"/>
        <w:left w:val="none" w:sz="0" w:space="0" w:color="auto"/>
        <w:bottom w:val="none" w:sz="0" w:space="0" w:color="auto"/>
        <w:right w:val="none" w:sz="0" w:space="0" w:color="auto"/>
      </w:divBdr>
    </w:div>
    <w:div w:id="1991135352">
      <w:bodyDiv w:val="1"/>
      <w:marLeft w:val="0"/>
      <w:marRight w:val="0"/>
      <w:marTop w:val="0"/>
      <w:marBottom w:val="0"/>
      <w:divBdr>
        <w:top w:val="none" w:sz="0" w:space="0" w:color="auto"/>
        <w:left w:val="none" w:sz="0" w:space="0" w:color="auto"/>
        <w:bottom w:val="none" w:sz="0" w:space="0" w:color="auto"/>
        <w:right w:val="none" w:sz="0" w:space="0" w:color="auto"/>
      </w:divBdr>
    </w:div>
    <w:div w:id="1997302430">
      <w:bodyDiv w:val="1"/>
      <w:marLeft w:val="0"/>
      <w:marRight w:val="0"/>
      <w:marTop w:val="0"/>
      <w:marBottom w:val="0"/>
      <w:divBdr>
        <w:top w:val="none" w:sz="0" w:space="0" w:color="auto"/>
        <w:left w:val="none" w:sz="0" w:space="0" w:color="auto"/>
        <w:bottom w:val="none" w:sz="0" w:space="0" w:color="auto"/>
        <w:right w:val="none" w:sz="0" w:space="0" w:color="auto"/>
      </w:divBdr>
    </w:div>
    <w:div w:id="2033609250">
      <w:bodyDiv w:val="1"/>
      <w:marLeft w:val="0"/>
      <w:marRight w:val="0"/>
      <w:marTop w:val="0"/>
      <w:marBottom w:val="0"/>
      <w:divBdr>
        <w:top w:val="none" w:sz="0" w:space="0" w:color="auto"/>
        <w:left w:val="none" w:sz="0" w:space="0" w:color="auto"/>
        <w:bottom w:val="none" w:sz="0" w:space="0" w:color="auto"/>
        <w:right w:val="none" w:sz="0" w:space="0" w:color="auto"/>
      </w:divBdr>
    </w:div>
    <w:div w:id="2075157041">
      <w:bodyDiv w:val="1"/>
      <w:marLeft w:val="0"/>
      <w:marRight w:val="0"/>
      <w:marTop w:val="0"/>
      <w:marBottom w:val="0"/>
      <w:divBdr>
        <w:top w:val="none" w:sz="0" w:space="0" w:color="auto"/>
        <w:left w:val="none" w:sz="0" w:space="0" w:color="auto"/>
        <w:bottom w:val="none" w:sz="0" w:space="0" w:color="auto"/>
        <w:right w:val="none" w:sz="0" w:space="0" w:color="auto"/>
      </w:divBdr>
    </w:div>
    <w:div w:id="2098357976">
      <w:bodyDiv w:val="1"/>
      <w:marLeft w:val="0"/>
      <w:marRight w:val="0"/>
      <w:marTop w:val="0"/>
      <w:marBottom w:val="0"/>
      <w:divBdr>
        <w:top w:val="none" w:sz="0" w:space="0" w:color="auto"/>
        <w:left w:val="none" w:sz="0" w:space="0" w:color="auto"/>
        <w:bottom w:val="none" w:sz="0" w:space="0" w:color="auto"/>
        <w:right w:val="none" w:sz="0" w:space="0" w:color="auto"/>
      </w:divBdr>
    </w:div>
    <w:div w:id="2105300647">
      <w:bodyDiv w:val="1"/>
      <w:marLeft w:val="0"/>
      <w:marRight w:val="0"/>
      <w:marTop w:val="0"/>
      <w:marBottom w:val="0"/>
      <w:divBdr>
        <w:top w:val="none" w:sz="0" w:space="0" w:color="auto"/>
        <w:left w:val="none" w:sz="0" w:space="0" w:color="auto"/>
        <w:bottom w:val="none" w:sz="0" w:space="0" w:color="auto"/>
        <w:right w:val="none" w:sz="0" w:space="0" w:color="auto"/>
      </w:divBdr>
    </w:div>
    <w:div w:id="2137872070">
      <w:bodyDiv w:val="1"/>
      <w:marLeft w:val="0"/>
      <w:marRight w:val="0"/>
      <w:marTop w:val="0"/>
      <w:marBottom w:val="0"/>
      <w:divBdr>
        <w:top w:val="none" w:sz="0" w:space="0" w:color="auto"/>
        <w:left w:val="none" w:sz="0" w:space="0" w:color="auto"/>
        <w:bottom w:val="none" w:sz="0" w:space="0" w:color="auto"/>
        <w:right w:val="none" w:sz="0" w:space="0" w:color="auto"/>
      </w:divBdr>
    </w:div>
    <w:div w:id="214342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uk-shared-prosperity-fund-interventions-outputs-and-indicators/interventions-list-for-englan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UKSPF@liverpoolcityregion-ca.gov.uk" TargetMode="External"/><Relationship Id="rId17" Type="http://schemas.openxmlformats.org/officeDocument/2006/relationships/hyperlink" Target="https://www.google.co.uk/url?sa=t&amp;rct=j&amp;q=&amp;esrc=s&amp;source=web&amp;cd=&amp;ved=2ahUKEwiztpni-sOCAxVxWUEAHQocAPsQFnoECBsQAQ&amp;url=https%3A%2F%2Fassets.publishing.service.gov.uk%2Fgovernment%2Fuploads%2Fsystem%2Fuploads%2Fattachment_data%2Ffile%2F1140763%2FUKSPF_Indicators_22.02.2023.xlsx&amp;usg=AOvVaw3C6o1BbuLXOZhZ3GgTS7SO&amp;opi=89978449" TargetMode="External"/><Relationship Id="rId2" Type="http://schemas.openxmlformats.org/officeDocument/2006/relationships/customXml" Target="../customXml/item2.xml"/><Relationship Id="rId16" Type="http://schemas.openxmlformats.org/officeDocument/2006/relationships/hyperlink" Target="https://www.gov.uk/guidance/uk-shared-prosperity-fund-procurement-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KSPF@liverpoolcityregion-ca.gov.uk" TargetMode="External"/><Relationship Id="rId5" Type="http://schemas.openxmlformats.org/officeDocument/2006/relationships/styles" Target="styles.xml"/><Relationship Id="rId15" Type="http://schemas.openxmlformats.org/officeDocument/2006/relationships/hyperlink" Target="https://www.gov.uk/guidance/uk-shared-prosperity-fund-outputs-and-outcomes-definitions-2"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uk-shared-prosperity-fund-interventions-outputs-and-indicators/interventions-list-for-eng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BD0A1E1861C447B8A709A5E8F7FB28" ma:contentTypeVersion="19" ma:contentTypeDescription="Create a new document." ma:contentTypeScope="" ma:versionID="05100c5b06fa609a5374aea1623480b0">
  <xsd:schema xmlns:xsd="http://www.w3.org/2001/XMLSchema" xmlns:xs="http://www.w3.org/2001/XMLSchema" xmlns:p="http://schemas.microsoft.com/office/2006/metadata/properties" xmlns:ns2="85fe6ce6-63a2-43d8-b03b-833bd929e006" xmlns:ns3="88d4ec24-c95b-4b82-9bd9-a2283424ff0d" xmlns:ns4="5655d435-b4cf-4dc3-bb48-9c5b684e75cb" targetNamespace="http://schemas.microsoft.com/office/2006/metadata/properties" ma:root="true" ma:fieldsID="a7370a7cd83a59845afeb38fd7fcec17" ns2:_="" ns3:_="" ns4:_="">
    <xsd:import namespace="85fe6ce6-63a2-43d8-b03b-833bd929e006"/>
    <xsd:import namespace="88d4ec24-c95b-4b82-9bd9-a2283424ff0d"/>
    <xsd:import namespace="5655d435-b4cf-4dc3-bb48-9c5b684e75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4: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e6ce6-63a2-43d8-b03b-833bd929e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baec11d-c73a-4c0b-be9b-b3f45a7f0e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d4ec24-c95b-4b82-9bd9-a2283424ff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55d435-b4cf-4dc3-bb48-9c5b684e75c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831b7a5-8e88-4083-bcdc-3d03abfe3ff6}" ma:internalName="TaxCatchAll" ma:showField="CatchAllData" ma:web="88d4ec24-c95b-4b82-9bd9-a2283424ff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655d435-b4cf-4dc3-bb48-9c5b684e75cb" xsi:nil="true"/>
    <lcf76f155ced4ddcb4097134ff3c332f xmlns="85fe6ce6-63a2-43d8-b03b-833bd929e00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2AB1AF-9C49-4331-9ED0-E0D17DC90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e6ce6-63a2-43d8-b03b-833bd929e006"/>
    <ds:schemaRef ds:uri="88d4ec24-c95b-4b82-9bd9-a2283424ff0d"/>
    <ds:schemaRef ds:uri="5655d435-b4cf-4dc3-bb48-9c5b684e7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168782-4D4B-4AAF-B40D-4636CCCDEE72}">
  <ds:schemaRefs>
    <ds:schemaRef ds:uri="http://schemas.microsoft.com/office/2006/metadata/properties"/>
    <ds:schemaRef ds:uri="http://schemas.microsoft.com/office/infopath/2007/PartnerControls"/>
    <ds:schemaRef ds:uri="5655d435-b4cf-4dc3-bb48-9c5b684e75cb"/>
    <ds:schemaRef ds:uri="85fe6ce6-63a2-43d8-b03b-833bd929e006"/>
  </ds:schemaRefs>
</ds:datastoreItem>
</file>

<file path=customXml/itemProps3.xml><?xml version="1.0" encoding="utf-8"?>
<ds:datastoreItem xmlns:ds="http://schemas.openxmlformats.org/officeDocument/2006/customXml" ds:itemID="{9D8E8EB7-2902-481B-9D54-6574E349AE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5275</Words>
  <Characters>30072</Characters>
  <Application>Microsoft Office Word</Application>
  <DocSecurity>0</DocSecurity>
  <Lines>250</Lines>
  <Paragraphs>70</Paragraphs>
  <ScaleCrop>false</ScaleCrop>
  <Company/>
  <LinksUpToDate>false</LinksUpToDate>
  <CharactersWithSpaces>35277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Laura</dc:creator>
  <cp:keywords/>
  <dc:description/>
  <cp:lastModifiedBy>Gibbons, Lynne</cp:lastModifiedBy>
  <cp:revision>2</cp:revision>
  <dcterms:created xsi:type="dcterms:W3CDTF">2023-12-20T11:45:00Z</dcterms:created>
  <dcterms:modified xsi:type="dcterms:W3CDTF">2023-12-20T11:45:00Z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0x0101002CBD0A1E1861C447B8A709A5E8F7FB28</vt:lpwstr>
  </property>
  <property fmtid="{D5CDD505-2E9C-101B-9397-08002B2CF9AE}" pid="3" name="MediaServiceImageTags">
    <vt:lpwstr/>
  </property>
</Properties>
</file>