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8BCE" w14:textId="7272D1EE" w:rsidR="00F8352A" w:rsidRPr="00894442" w:rsidRDefault="00F8352A" w:rsidP="00F8352A">
      <w:pPr>
        <w:pStyle w:val="HeadingLevel2"/>
        <w:numPr>
          <w:ilvl w:val="0"/>
          <w:numId w:val="0"/>
        </w:numPr>
        <w:rPr>
          <w:sz w:val="28"/>
          <w:szCs w:val="28"/>
        </w:rPr>
      </w:pPr>
      <w:r w:rsidRPr="00894442">
        <w:rPr>
          <w:sz w:val="28"/>
          <w:szCs w:val="28"/>
        </w:rPr>
        <w:t xml:space="preserve">Liverpool City Region Combined Authority </w:t>
      </w:r>
      <w:r>
        <w:rPr>
          <w:sz w:val="28"/>
          <w:szCs w:val="28"/>
        </w:rPr>
        <w:t>Business and Enterprise Board</w:t>
      </w:r>
      <w:r w:rsidRPr="00894442">
        <w:rPr>
          <w:sz w:val="28"/>
          <w:szCs w:val="28"/>
        </w:rPr>
        <w:t xml:space="preserve"> Terms of Reference </w:t>
      </w:r>
    </w:p>
    <w:tbl>
      <w:tblPr>
        <w:tblStyle w:val="TableGrid"/>
        <w:tblW w:w="0" w:type="auto"/>
        <w:tblLook w:val="04A0" w:firstRow="1" w:lastRow="0" w:firstColumn="1" w:lastColumn="0" w:noHBand="0" w:noVBand="1"/>
      </w:tblPr>
      <w:tblGrid>
        <w:gridCol w:w="4505"/>
        <w:gridCol w:w="4505"/>
      </w:tblGrid>
      <w:tr w:rsidR="009A2D1A" w14:paraId="10AF6938" w14:textId="77777777" w:rsidTr="00EB6310">
        <w:tc>
          <w:tcPr>
            <w:tcW w:w="4505" w:type="dxa"/>
          </w:tcPr>
          <w:p w14:paraId="132E6251" w14:textId="6C9ECC83" w:rsidR="009A2D1A" w:rsidRDefault="009A2D1A" w:rsidP="00EB6310">
            <w:pPr>
              <w:pStyle w:val="HeadingLevel2"/>
              <w:numPr>
                <w:ilvl w:val="0"/>
                <w:numId w:val="0"/>
              </w:numPr>
            </w:pPr>
            <w:r>
              <w:t xml:space="preserve">Version </w:t>
            </w:r>
            <w:r w:rsidR="003836DC">
              <w:t>2.0</w:t>
            </w:r>
          </w:p>
        </w:tc>
        <w:tc>
          <w:tcPr>
            <w:tcW w:w="4505" w:type="dxa"/>
          </w:tcPr>
          <w:p w14:paraId="757E7DDC" w14:textId="2318B3C1" w:rsidR="009A2D1A" w:rsidRDefault="003836DC" w:rsidP="00EB6310">
            <w:pPr>
              <w:pStyle w:val="HeadingLevel2"/>
              <w:numPr>
                <w:ilvl w:val="0"/>
                <w:numId w:val="0"/>
              </w:numPr>
            </w:pPr>
            <w:r>
              <w:t>October</w:t>
            </w:r>
            <w:r w:rsidR="009A2D1A">
              <w:t xml:space="preserve"> 2023</w:t>
            </w:r>
          </w:p>
        </w:tc>
      </w:tr>
    </w:tbl>
    <w:p w14:paraId="5474780D" w14:textId="77777777" w:rsidR="009A2D1A" w:rsidRDefault="009A2D1A" w:rsidP="008354B4">
      <w:pPr>
        <w:pStyle w:val="HeadingLevel2"/>
        <w:numPr>
          <w:ilvl w:val="0"/>
          <w:numId w:val="0"/>
        </w:numPr>
      </w:pPr>
    </w:p>
    <w:tbl>
      <w:tblPr>
        <w:tblStyle w:val="TableGrid"/>
        <w:tblW w:w="0" w:type="auto"/>
        <w:tblLook w:val="04A0" w:firstRow="1" w:lastRow="0" w:firstColumn="1" w:lastColumn="0" w:noHBand="0" w:noVBand="1"/>
      </w:tblPr>
      <w:tblGrid>
        <w:gridCol w:w="3256"/>
        <w:gridCol w:w="5760"/>
      </w:tblGrid>
      <w:tr w:rsidR="008354B4" w:rsidRPr="00D038ED" w14:paraId="42874635" w14:textId="77777777" w:rsidTr="00EB6310">
        <w:tc>
          <w:tcPr>
            <w:tcW w:w="3256" w:type="dxa"/>
          </w:tcPr>
          <w:p w14:paraId="73CF267D" w14:textId="77777777" w:rsidR="008354B4" w:rsidRPr="00D038ED" w:rsidRDefault="008354B4" w:rsidP="00EB6310">
            <w:r w:rsidRPr="00D038ED">
              <w:t>Name</w:t>
            </w:r>
          </w:p>
        </w:tc>
        <w:tc>
          <w:tcPr>
            <w:tcW w:w="5760" w:type="dxa"/>
          </w:tcPr>
          <w:p w14:paraId="6D047BD3" w14:textId="77777777" w:rsidR="008354B4" w:rsidRPr="00D038ED" w:rsidRDefault="008354B4" w:rsidP="00EB6310">
            <w:r w:rsidRPr="00D038ED">
              <w:t xml:space="preserve">Business and Enterprise Board </w:t>
            </w:r>
          </w:p>
          <w:p w14:paraId="600F3594" w14:textId="77777777" w:rsidR="008354B4" w:rsidRPr="00D038ED" w:rsidRDefault="008354B4" w:rsidP="00EB6310"/>
        </w:tc>
      </w:tr>
      <w:tr w:rsidR="008354B4" w:rsidRPr="00D038ED" w14:paraId="757DA37E" w14:textId="77777777" w:rsidTr="00EB6310">
        <w:tc>
          <w:tcPr>
            <w:tcW w:w="3256" w:type="dxa"/>
          </w:tcPr>
          <w:p w14:paraId="5A9D381E" w14:textId="77777777" w:rsidR="008354B4" w:rsidRPr="00D038ED" w:rsidRDefault="008354B4" w:rsidP="00EB6310">
            <w:r w:rsidRPr="00D038ED">
              <w:t>Position</w:t>
            </w:r>
          </w:p>
        </w:tc>
        <w:tc>
          <w:tcPr>
            <w:tcW w:w="5760" w:type="dxa"/>
          </w:tcPr>
          <w:p w14:paraId="5C7EC112" w14:textId="77777777" w:rsidR="008354B4" w:rsidRPr="00D038ED" w:rsidRDefault="008354B4" w:rsidP="00EB6310">
            <w:pPr>
              <w:pStyle w:val="NormalWeb"/>
              <w:rPr>
                <w:rFonts w:ascii="Arial" w:hAnsi="Arial" w:cs="Arial"/>
              </w:rPr>
            </w:pPr>
            <w:r w:rsidRPr="00D038ED">
              <w:rPr>
                <w:rFonts w:ascii="Arial" w:hAnsi="Arial" w:cs="Arial"/>
              </w:rPr>
              <w:t>The overarching remit of the Board is to be the City Region’s expert and leadership group on the role of business and different sectors on the performance of the LCR economy, to influence policy, stimulate economic growth, productivity and competitiveness whilst supporting the LCR in its ambitions for inclusive growth and sustainability.</w:t>
            </w:r>
            <w:r w:rsidRPr="00D038ED">
              <w:rPr>
                <w:rStyle w:val="apple-converted-space"/>
                <w:rFonts w:ascii="Arial" w:hAnsi="Arial" w:cs="Arial"/>
              </w:rPr>
              <w:t> Board Members should bring a knowledge of their sector</w:t>
            </w:r>
            <w:r>
              <w:rPr>
                <w:rStyle w:val="apple-converted-space"/>
                <w:rFonts w:ascii="Arial" w:hAnsi="Arial" w:cs="Arial"/>
              </w:rPr>
              <w:t>,</w:t>
            </w:r>
            <w:r w:rsidRPr="00D038ED">
              <w:rPr>
                <w:rStyle w:val="apple-converted-space"/>
                <w:rFonts w:ascii="Arial" w:hAnsi="Arial" w:cs="Arial"/>
              </w:rPr>
              <w:t xml:space="preserve"> be advocates of the City Region economy</w:t>
            </w:r>
            <w:r>
              <w:rPr>
                <w:rStyle w:val="apple-converted-space"/>
                <w:rFonts w:ascii="Arial" w:hAnsi="Arial" w:cs="Arial"/>
              </w:rPr>
              <w:t>,</w:t>
            </w:r>
            <w:r w:rsidRPr="00D038ED">
              <w:rPr>
                <w:rStyle w:val="apple-converted-space"/>
                <w:rFonts w:ascii="Arial" w:hAnsi="Arial" w:cs="Arial"/>
              </w:rPr>
              <w:t xml:space="preserve"> as well as promoting the City Region to national and international audiences supporting inward investment activity where possible. </w:t>
            </w:r>
          </w:p>
          <w:p w14:paraId="05C1B825" w14:textId="1455E00E" w:rsidR="008354B4" w:rsidRDefault="008354B4" w:rsidP="00EB6310">
            <w:r w:rsidRPr="00D038ED">
              <w:t xml:space="preserve">The Business and Enterprise Board will form part of, and feed into, wider </w:t>
            </w:r>
            <w:r>
              <w:t>Combined Authority</w:t>
            </w:r>
            <w:r w:rsidR="004E2AE9">
              <w:t xml:space="preserve"> (“CA”)</w:t>
            </w:r>
            <w:r w:rsidRPr="00D038ED">
              <w:t xml:space="preserve"> governance structures, with the Chair of the Board holding a non-voting position on the CA.  The Business and Enterprise Board will be a high-level leadership group, bringing together private sector leaders to provide advice on the economy and how business is impacting on wider economic development. Members are expected to take a strategic role rather that act in the interests of their individual sectors.</w:t>
            </w:r>
          </w:p>
          <w:p w14:paraId="7F36BB59" w14:textId="77777777" w:rsidR="004E2AE9" w:rsidRDefault="004E2AE9" w:rsidP="00EB6310"/>
          <w:p w14:paraId="5DEA330C" w14:textId="1B5168FD" w:rsidR="004E2AE9" w:rsidRDefault="004E2AE9" w:rsidP="00EB6310">
            <w:r>
              <w:t xml:space="preserve">The Business and Enterprise Board is </w:t>
            </w:r>
            <w:r w:rsidR="00BA2A4B">
              <w:t>recognised as a body of the CA in section 3(J) of its Constitution, which is appended to these Terms of Reference.</w:t>
            </w:r>
          </w:p>
          <w:p w14:paraId="73C2066E" w14:textId="77777777" w:rsidR="008354B4" w:rsidRPr="00D038ED" w:rsidRDefault="008354B4" w:rsidP="00BA2A4B"/>
        </w:tc>
      </w:tr>
      <w:tr w:rsidR="008354B4" w:rsidRPr="00D038ED" w14:paraId="7221BB53" w14:textId="77777777" w:rsidTr="00EB6310">
        <w:tc>
          <w:tcPr>
            <w:tcW w:w="3256" w:type="dxa"/>
          </w:tcPr>
          <w:p w14:paraId="6FF60A96" w14:textId="77777777" w:rsidR="008354B4" w:rsidRPr="00D038ED" w:rsidRDefault="008354B4" w:rsidP="00EB6310">
            <w:r w:rsidRPr="00D038ED">
              <w:t>Purpose of the Board</w:t>
            </w:r>
          </w:p>
        </w:tc>
        <w:tc>
          <w:tcPr>
            <w:tcW w:w="5760" w:type="dxa"/>
          </w:tcPr>
          <w:p w14:paraId="7FDE5F15" w14:textId="4BE8BB89" w:rsidR="003836DC" w:rsidRPr="003836DC" w:rsidRDefault="003836DC" w:rsidP="003836DC">
            <w:pPr>
              <w:rPr>
                <w:rFonts w:eastAsia="Times New Roman"/>
              </w:rPr>
            </w:pPr>
            <w:r w:rsidRPr="003836DC">
              <w:rPr>
                <w:rFonts w:eastAsia="Times New Roman"/>
              </w:rPr>
              <w:t>The</w:t>
            </w:r>
            <w:r w:rsidR="004E2AE9">
              <w:rPr>
                <w:rFonts w:eastAsia="Times New Roman"/>
              </w:rPr>
              <w:t xml:space="preserve"> overarching purposes of the Business and Enterprise Board are to</w:t>
            </w:r>
            <w:r w:rsidRPr="003836DC">
              <w:rPr>
                <w:rFonts w:eastAsia="Times New Roman"/>
              </w:rPr>
              <w:t>:</w:t>
            </w:r>
          </w:p>
          <w:p w14:paraId="10F29368" w14:textId="77777777" w:rsidR="003836DC" w:rsidRPr="003836DC" w:rsidRDefault="003836DC" w:rsidP="003836DC">
            <w:pPr>
              <w:rPr>
                <w:rFonts w:eastAsia="Times New Roman"/>
              </w:rPr>
            </w:pPr>
          </w:p>
          <w:p w14:paraId="450DAA1D" w14:textId="12F98934" w:rsidR="003836DC" w:rsidRPr="00AC71EE" w:rsidRDefault="003836DC" w:rsidP="00AC71EE">
            <w:pPr>
              <w:pStyle w:val="ListParagraph"/>
              <w:numPr>
                <w:ilvl w:val="0"/>
                <w:numId w:val="7"/>
              </w:numPr>
              <w:rPr>
                <w:rFonts w:eastAsia="Times New Roman"/>
              </w:rPr>
            </w:pPr>
            <w:r w:rsidRPr="00AC71EE">
              <w:rPr>
                <w:rFonts w:eastAsia="Times New Roman"/>
              </w:rPr>
              <w:t xml:space="preserve">Work with </w:t>
            </w:r>
            <w:r w:rsidR="004E2AE9">
              <w:rPr>
                <w:rFonts w:eastAsia="Times New Roman"/>
              </w:rPr>
              <w:t>the CA</w:t>
            </w:r>
            <w:r w:rsidRPr="00AC71EE">
              <w:rPr>
                <w:rFonts w:eastAsia="Times New Roman"/>
              </w:rPr>
              <w:t xml:space="preserve"> in the development of economic strategy for the Region.</w:t>
            </w:r>
          </w:p>
          <w:p w14:paraId="3843F041" w14:textId="5CC52A99" w:rsidR="003836DC" w:rsidRPr="00AC71EE" w:rsidRDefault="003836DC" w:rsidP="00AC71EE">
            <w:pPr>
              <w:pStyle w:val="ListParagraph"/>
              <w:numPr>
                <w:ilvl w:val="0"/>
                <w:numId w:val="7"/>
              </w:numPr>
              <w:rPr>
                <w:rFonts w:eastAsia="Times New Roman"/>
              </w:rPr>
            </w:pPr>
            <w:r w:rsidRPr="00AC71EE">
              <w:rPr>
                <w:rFonts w:eastAsia="Times New Roman"/>
              </w:rPr>
              <w:t>Be consulted by</w:t>
            </w:r>
            <w:r w:rsidR="004E2AE9">
              <w:rPr>
                <w:rFonts w:eastAsia="Times New Roman"/>
              </w:rPr>
              <w:t xml:space="preserve"> </w:t>
            </w:r>
            <w:r w:rsidRPr="00AC71EE">
              <w:rPr>
                <w:rFonts w:eastAsia="Times New Roman"/>
              </w:rPr>
              <w:t>CA on any economic or other decisions that will impact on the LCR business community.</w:t>
            </w:r>
          </w:p>
          <w:p w14:paraId="2164BFA9" w14:textId="7AC24A8E" w:rsidR="003836DC" w:rsidRPr="00AC71EE" w:rsidRDefault="003836DC" w:rsidP="00AC71EE">
            <w:pPr>
              <w:pStyle w:val="ListParagraph"/>
              <w:numPr>
                <w:ilvl w:val="0"/>
                <w:numId w:val="7"/>
              </w:numPr>
              <w:rPr>
                <w:rFonts w:eastAsia="Times New Roman"/>
              </w:rPr>
            </w:pPr>
            <w:r w:rsidRPr="00AC71EE">
              <w:rPr>
                <w:rFonts w:eastAsia="Times New Roman"/>
              </w:rPr>
              <w:t xml:space="preserve">Represent the voice of business in key </w:t>
            </w:r>
            <w:r w:rsidR="004E2AE9">
              <w:rPr>
                <w:rFonts w:eastAsia="Times New Roman"/>
              </w:rPr>
              <w:t>LCR</w:t>
            </w:r>
            <w:r w:rsidRPr="00AC71EE">
              <w:rPr>
                <w:rFonts w:eastAsia="Times New Roman"/>
              </w:rPr>
              <w:t xml:space="preserve"> partnerships and stakeholder groups.</w:t>
            </w:r>
          </w:p>
          <w:p w14:paraId="035201F6" w14:textId="3FB40781" w:rsidR="003836DC" w:rsidRPr="00AC71EE" w:rsidRDefault="003836DC" w:rsidP="00AC71EE">
            <w:pPr>
              <w:pStyle w:val="ListParagraph"/>
              <w:numPr>
                <w:ilvl w:val="0"/>
                <w:numId w:val="7"/>
              </w:numPr>
              <w:rPr>
                <w:rFonts w:eastAsia="Times New Roman"/>
              </w:rPr>
            </w:pPr>
            <w:r w:rsidRPr="00AC71EE">
              <w:rPr>
                <w:rFonts w:eastAsia="Times New Roman"/>
              </w:rPr>
              <w:lastRenderedPageBreak/>
              <w:t xml:space="preserve">Help to shape delivery of business support and inward investment functions by the Growth Platform and </w:t>
            </w:r>
            <w:r w:rsidR="004E2AE9">
              <w:rPr>
                <w:rFonts w:eastAsia="Times New Roman"/>
              </w:rPr>
              <w:t>CA</w:t>
            </w:r>
            <w:r w:rsidRPr="00AC71EE">
              <w:rPr>
                <w:rFonts w:eastAsia="Times New Roman"/>
              </w:rPr>
              <w:t>.</w:t>
            </w:r>
          </w:p>
          <w:p w14:paraId="1A9F99F5" w14:textId="77777777" w:rsidR="003836DC" w:rsidRDefault="003836DC" w:rsidP="00EB6310">
            <w:pPr>
              <w:rPr>
                <w:rFonts w:eastAsia="Times New Roman"/>
              </w:rPr>
            </w:pPr>
          </w:p>
          <w:p w14:paraId="4D011966" w14:textId="2F7A35AC" w:rsidR="008354B4" w:rsidRPr="00D038ED" w:rsidRDefault="004E2AE9" w:rsidP="00EB6310">
            <w:pPr>
              <w:rPr>
                <w:rFonts w:eastAsia="Times New Roman"/>
              </w:rPr>
            </w:pPr>
            <w:r>
              <w:rPr>
                <w:rFonts w:eastAsia="Times New Roman"/>
              </w:rPr>
              <w:t>T</w:t>
            </w:r>
            <w:r w:rsidR="008354B4" w:rsidRPr="00D038ED">
              <w:rPr>
                <w:rFonts w:eastAsia="Times New Roman"/>
              </w:rPr>
              <w:t xml:space="preserve">he </w:t>
            </w:r>
            <w:r w:rsidR="008354B4" w:rsidRPr="008A5B0A">
              <w:rPr>
                <w:rFonts w:eastAsia="Times New Roman"/>
              </w:rPr>
              <w:t>Board</w:t>
            </w:r>
            <w:r w:rsidR="008354B4" w:rsidRPr="00D038ED">
              <w:rPr>
                <w:rFonts w:eastAsia="Times New Roman"/>
              </w:rPr>
              <w:t xml:space="preserve"> is advisory in nature and </w:t>
            </w:r>
            <w:r>
              <w:rPr>
                <w:rFonts w:eastAsia="Times New Roman"/>
              </w:rPr>
              <w:t xml:space="preserve">more specifically </w:t>
            </w:r>
            <w:r w:rsidR="008354B4" w:rsidRPr="00D038ED">
              <w:rPr>
                <w:rFonts w:eastAsia="Times New Roman"/>
              </w:rPr>
              <w:t xml:space="preserve">will provide </w:t>
            </w:r>
            <w:r w:rsidR="008354B4">
              <w:rPr>
                <w:rFonts w:eastAsia="Times New Roman"/>
              </w:rPr>
              <w:t>the C</w:t>
            </w:r>
            <w:r>
              <w:rPr>
                <w:rFonts w:eastAsia="Times New Roman"/>
              </w:rPr>
              <w:t>A</w:t>
            </w:r>
            <w:r w:rsidR="008354B4">
              <w:rPr>
                <w:rFonts w:eastAsia="Times New Roman"/>
              </w:rPr>
              <w:t xml:space="preserve"> </w:t>
            </w:r>
            <w:r w:rsidR="008354B4" w:rsidRPr="00D038ED">
              <w:rPr>
                <w:rFonts w:eastAsia="Times New Roman"/>
              </w:rPr>
              <w:t>with insights on:</w:t>
            </w:r>
          </w:p>
          <w:p w14:paraId="3E38301A" w14:textId="77777777" w:rsidR="008354B4" w:rsidRPr="00D038ED" w:rsidRDefault="008354B4" w:rsidP="008354B4">
            <w:pPr>
              <w:pStyle w:val="ListParagraph"/>
              <w:numPr>
                <w:ilvl w:val="0"/>
                <w:numId w:val="4"/>
              </w:numPr>
              <w:ind w:left="883" w:hanging="425"/>
              <w:rPr>
                <w:rFonts w:eastAsia="Times New Roman"/>
                <w:lang w:eastAsia="en-US"/>
              </w:rPr>
            </w:pPr>
            <w:r w:rsidRPr="00D038ED">
              <w:rPr>
                <w:rFonts w:eastAsia="Times New Roman"/>
                <w:lang w:eastAsia="en-US"/>
              </w:rPr>
              <w:t>Sector intelligence and fore-sighting in terms of the direction of the economy</w:t>
            </w:r>
          </w:p>
          <w:p w14:paraId="0C9A2B51" w14:textId="77777777" w:rsidR="008354B4" w:rsidRPr="00D038ED" w:rsidRDefault="008354B4" w:rsidP="008354B4">
            <w:pPr>
              <w:pStyle w:val="ListParagraph"/>
              <w:numPr>
                <w:ilvl w:val="0"/>
                <w:numId w:val="4"/>
              </w:numPr>
              <w:ind w:left="883" w:hanging="425"/>
              <w:rPr>
                <w:rFonts w:eastAsia="Times New Roman"/>
                <w:lang w:eastAsia="en-US"/>
              </w:rPr>
            </w:pPr>
            <w:r w:rsidRPr="00D038ED">
              <w:rPr>
                <w:rFonts w:eastAsia="Times New Roman"/>
                <w:lang w:eastAsia="en-US"/>
              </w:rPr>
              <w:t xml:space="preserve">How the economy is operating and the key drivers shaping employment, </w:t>
            </w:r>
            <w:proofErr w:type="gramStart"/>
            <w:r w:rsidRPr="00D038ED">
              <w:rPr>
                <w:rFonts w:eastAsia="Times New Roman"/>
                <w:lang w:eastAsia="en-US"/>
              </w:rPr>
              <w:t>productivity</w:t>
            </w:r>
            <w:proofErr w:type="gramEnd"/>
            <w:r w:rsidRPr="00D038ED">
              <w:rPr>
                <w:rFonts w:eastAsia="Times New Roman"/>
                <w:lang w:eastAsia="en-US"/>
              </w:rPr>
              <w:t xml:space="preserve"> and the performance of wider clusters.</w:t>
            </w:r>
          </w:p>
          <w:p w14:paraId="117C7C0C" w14:textId="77777777" w:rsidR="008354B4" w:rsidRPr="00D038ED" w:rsidRDefault="008354B4" w:rsidP="008354B4">
            <w:pPr>
              <w:pStyle w:val="ListParagraph"/>
              <w:numPr>
                <w:ilvl w:val="0"/>
                <w:numId w:val="4"/>
              </w:numPr>
              <w:ind w:left="883" w:hanging="425"/>
              <w:rPr>
                <w:rFonts w:eastAsia="Times New Roman"/>
                <w:lang w:eastAsia="en-US"/>
              </w:rPr>
            </w:pPr>
            <w:r w:rsidRPr="00D038ED">
              <w:rPr>
                <w:rFonts w:eastAsia="Times New Roman"/>
                <w:lang w:eastAsia="en-US"/>
              </w:rPr>
              <w:t>Supply side issues which are holding back the growth of the economy.</w:t>
            </w:r>
          </w:p>
          <w:p w14:paraId="6FAFA5FC" w14:textId="77777777" w:rsidR="008354B4" w:rsidRPr="00D038ED" w:rsidRDefault="008354B4" w:rsidP="008354B4">
            <w:pPr>
              <w:pStyle w:val="ListParagraph"/>
              <w:numPr>
                <w:ilvl w:val="0"/>
                <w:numId w:val="4"/>
              </w:numPr>
              <w:ind w:left="883" w:hanging="425"/>
              <w:rPr>
                <w:rFonts w:eastAsia="Times New Roman"/>
                <w:lang w:eastAsia="en-US"/>
              </w:rPr>
            </w:pPr>
            <w:r w:rsidRPr="00D038ED">
              <w:rPr>
                <w:rFonts w:eastAsia="Times New Roman"/>
                <w:lang w:eastAsia="en-US"/>
              </w:rPr>
              <w:t>Opportunities for growth, innovation or investment across the economy and its key clusters (as well as the threats this represents)</w:t>
            </w:r>
          </w:p>
          <w:p w14:paraId="407F9548" w14:textId="77777777" w:rsidR="008354B4" w:rsidRPr="00D038ED" w:rsidRDefault="008354B4" w:rsidP="008354B4">
            <w:pPr>
              <w:pStyle w:val="ListParagraph"/>
              <w:numPr>
                <w:ilvl w:val="0"/>
                <w:numId w:val="4"/>
              </w:numPr>
              <w:ind w:left="883" w:hanging="425"/>
              <w:rPr>
                <w:rFonts w:eastAsia="Times New Roman"/>
                <w:lang w:eastAsia="en-US"/>
              </w:rPr>
            </w:pPr>
            <w:r w:rsidRPr="00D038ED">
              <w:rPr>
                <w:rFonts w:eastAsia="Times New Roman"/>
                <w:lang w:eastAsia="en-US"/>
              </w:rPr>
              <w:t xml:space="preserve">Identify opportunities for linkages between the Board and the wider economy to drive productivity, investment and </w:t>
            </w:r>
            <w:proofErr w:type="gramStart"/>
            <w:r w:rsidRPr="00D038ED">
              <w:rPr>
                <w:rFonts w:eastAsia="Times New Roman"/>
                <w:lang w:eastAsia="en-US"/>
              </w:rPr>
              <w:t>employment</w:t>
            </w:r>
            <w:proofErr w:type="gramEnd"/>
          </w:p>
          <w:p w14:paraId="798EB1CF" w14:textId="77777777" w:rsidR="008354B4" w:rsidRPr="00D038ED" w:rsidRDefault="008354B4" w:rsidP="008354B4">
            <w:pPr>
              <w:pStyle w:val="ListParagraph"/>
              <w:numPr>
                <w:ilvl w:val="0"/>
                <w:numId w:val="4"/>
              </w:numPr>
              <w:ind w:left="883" w:hanging="425"/>
              <w:rPr>
                <w:rFonts w:eastAsia="Times New Roman"/>
                <w:lang w:eastAsia="en-US"/>
              </w:rPr>
            </w:pPr>
            <w:r w:rsidRPr="00D038ED">
              <w:rPr>
                <w:rFonts w:eastAsia="Times New Roman"/>
                <w:lang w:eastAsia="en-US"/>
              </w:rPr>
              <w:t>Outline of potential economic development initiatives / interventions</w:t>
            </w:r>
          </w:p>
          <w:p w14:paraId="72485D6A" w14:textId="77777777" w:rsidR="008354B4" w:rsidRPr="00D038ED" w:rsidRDefault="008354B4" w:rsidP="008354B4">
            <w:pPr>
              <w:pStyle w:val="ListParagraph"/>
              <w:numPr>
                <w:ilvl w:val="0"/>
                <w:numId w:val="4"/>
              </w:numPr>
              <w:ind w:left="883" w:hanging="425"/>
              <w:rPr>
                <w:rFonts w:eastAsia="Times New Roman"/>
                <w:lang w:eastAsia="en-US"/>
              </w:rPr>
            </w:pPr>
            <w:r w:rsidRPr="00D038ED">
              <w:rPr>
                <w:rFonts w:eastAsia="Times New Roman"/>
                <w:lang w:eastAsia="en-US"/>
              </w:rPr>
              <w:t>Line of sight to different funding initiatives (private and public)</w:t>
            </w:r>
          </w:p>
          <w:p w14:paraId="5D34983A" w14:textId="77777777" w:rsidR="008354B4" w:rsidRPr="00D038ED" w:rsidRDefault="008354B4" w:rsidP="008354B4">
            <w:pPr>
              <w:pStyle w:val="ListParagraph"/>
              <w:numPr>
                <w:ilvl w:val="0"/>
                <w:numId w:val="4"/>
              </w:numPr>
              <w:ind w:left="883" w:hanging="425"/>
              <w:rPr>
                <w:rFonts w:eastAsia="Times New Roman"/>
                <w:lang w:eastAsia="en-US"/>
              </w:rPr>
            </w:pPr>
            <w:r w:rsidRPr="00D038ED">
              <w:rPr>
                <w:rFonts w:eastAsia="Times New Roman"/>
                <w:lang w:eastAsia="en-US"/>
              </w:rPr>
              <w:t xml:space="preserve">Ideas to help promote the LCR economy more </w:t>
            </w:r>
            <w:proofErr w:type="gramStart"/>
            <w:r w:rsidRPr="00D038ED">
              <w:rPr>
                <w:rFonts w:eastAsia="Times New Roman"/>
                <w:lang w:eastAsia="en-US"/>
              </w:rPr>
              <w:t>widely</w:t>
            </w:r>
            <w:proofErr w:type="gramEnd"/>
            <w:r w:rsidRPr="00D038ED">
              <w:rPr>
                <w:rFonts w:eastAsia="Times New Roman"/>
                <w:lang w:eastAsia="en-US"/>
              </w:rPr>
              <w:t xml:space="preserve"> </w:t>
            </w:r>
          </w:p>
          <w:p w14:paraId="45C0D87D" w14:textId="77777777" w:rsidR="008354B4" w:rsidRPr="00D038ED" w:rsidRDefault="008354B4" w:rsidP="00EB6310">
            <w:pPr>
              <w:rPr>
                <w:rFonts w:eastAsia="Times New Roman"/>
              </w:rPr>
            </w:pPr>
            <w:proofErr w:type="gramStart"/>
            <w:r w:rsidRPr="00D038ED">
              <w:rPr>
                <w:rFonts w:eastAsia="Times New Roman"/>
              </w:rPr>
              <w:t>With this in mind, the</w:t>
            </w:r>
            <w:proofErr w:type="gramEnd"/>
            <w:r w:rsidRPr="00D038ED">
              <w:rPr>
                <w:rFonts w:eastAsia="Times New Roman"/>
              </w:rPr>
              <w:t xml:space="preserve"> Board will create an annual action plan focused on supporting the economy.</w:t>
            </w:r>
          </w:p>
          <w:p w14:paraId="123E1113" w14:textId="77777777" w:rsidR="008354B4" w:rsidRPr="00D038ED" w:rsidRDefault="008354B4" w:rsidP="00EB6310"/>
        </w:tc>
      </w:tr>
      <w:tr w:rsidR="008354B4" w:rsidRPr="00D038ED" w14:paraId="79CC6472" w14:textId="77777777" w:rsidTr="00EB6310">
        <w:tc>
          <w:tcPr>
            <w:tcW w:w="3256" w:type="dxa"/>
          </w:tcPr>
          <w:p w14:paraId="131C4C8D" w14:textId="77777777" w:rsidR="008354B4" w:rsidRPr="00D038ED" w:rsidRDefault="008354B4" w:rsidP="00EB6310">
            <w:r w:rsidRPr="00D038ED">
              <w:lastRenderedPageBreak/>
              <w:t>Membership</w:t>
            </w:r>
          </w:p>
        </w:tc>
        <w:tc>
          <w:tcPr>
            <w:tcW w:w="5760" w:type="dxa"/>
          </w:tcPr>
          <w:p w14:paraId="3FB17831" w14:textId="77777777" w:rsidR="008354B4" w:rsidRPr="00D038ED" w:rsidRDefault="008354B4" w:rsidP="00EB6310">
            <w:r w:rsidRPr="00D038ED">
              <w:t xml:space="preserve">The Board will be made up of not more than 14 full members (and not less than 10) who will be selected by an open </w:t>
            </w:r>
            <w:r>
              <w:t>appointment</w:t>
            </w:r>
            <w:r w:rsidRPr="00D038ED">
              <w:t xml:space="preserve"> process. </w:t>
            </w:r>
          </w:p>
          <w:p w14:paraId="165CC7C5" w14:textId="77777777" w:rsidR="008354B4" w:rsidRPr="00D038ED" w:rsidRDefault="008354B4" w:rsidP="00EB6310"/>
          <w:p w14:paraId="00688D7D" w14:textId="77777777" w:rsidR="008354B4" w:rsidRDefault="008354B4" w:rsidP="00EB6310">
            <w:r w:rsidRPr="00D038ED">
              <w:t xml:space="preserve">The Chairs of the </w:t>
            </w:r>
            <w:r>
              <w:t xml:space="preserve">Cluster Boards </w:t>
            </w:r>
            <w:r w:rsidRPr="00D038ED">
              <w:t xml:space="preserve">(also </w:t>
            </w:r>
            <w:r>
              <w:t xml:space="preserve">appointed </w:t>
            </w:r>
            <w:r w:rsidRPr="00D038ED">
              <w:t xml:space="preserve">through an open process) </w:t>
            </w:r>
            <w:r>
              <w:t xml:space="preserve">and Social Economy Board </w:t>
            </w:r>
            <w:r w:rsidRPr="00D038ED">
              <w:t xml:space="preserve">will be automatic members of the Business and Enterprise Board. </w:t>
            </w:r>
          </w:p>
          <w:p w14:paraId="46089B5F" w14:textId="77777777" w:rsidR="008354B4" w:rsidRDefault="008354B4" w:rsidP="00EB6310"/>
          <w:p w14:paraId="533D76BC" w14:textId="77777777" w:rsidR="008354B4" w:rsidRPr="00D038ED" w:rsidRDefault="008354B4" w:rsidP="00EB6310">
            <w:r>
              <w:t>Reserved places will also be held for a representative of:</w:t>
            </w:r>
            <w:r w:rsidRPr="00D038ED">
              <w:t xml:space="preserve"> </w:t>
            </w:r>
          </w:p>
          <w:p w14:paraId="7800EFBF" w14:textId="77777777" w:rsidR="008354B4" w:rsidRPr="00D038ED" w:rsidRDefault="008354B4" w:rsidP="008354B4">
            <w:pPr>
              <w:pStyle w:val="ListParagraph"/>
              <w:numPr>
                <w:ilvl w:val="0"/>
                <w:numId w:val="6"/>
              </w:numPr>
            </w:pPr>
            <w:r>
              <w:t xml:space="preserve">Visitor Economy Board / </w:t>
            </w:r>
            <w:r w:rsidRPr="00D038ED">
              <w:t>Local Visitor Economy Partnership</w:t>
            </w:r>
          </w:p>
          <w:p w14:paraId="56FA7057" w14:textId="77777777" w:rsidR="008354B4" w:rsidRPr="00D038ED" w:rsidRDefault="008354B4" w:rsidP="008354B4">
            <w:pPr>
              <w:pStyle w:val="ListParagraph"/>
              <w:numPr>
                <w:ilvl w:val="0"/>
                <w:numId w:val="6"/>
              </w:numPr>
            </w:pPr>
            <w:r w:rsidRPr="00D038ED">
              <w:t xml:space="preserve">Higher </w:t>
            </w:r>
            <w:r>
              <w:t xml:space="preserve">and Further </w:t>
            </w:r>
            <w:r w:rsidRPr="00D038ED">
              <w:t>Education</w:t>
            </w:r>
          </w:p>
          <w:p w14:paraId="60B4A07B" w14:textId="77777777" w:rsidR="008354B4" w:rsidRPr="00D038ED" w:rsidRDefault="008354B4" w:rsidP="00EB6310"/>
          <w:p w14:paraId="0C7D7796" w14:textId="77777777" w:rsidR="008354B4" w:rsidRPr="00D038ED" w:rsidRDefault="008354B4" w:rsidP="00EB6310">
            <w:r w:rsidRPr="00D038ED">
              <w:t>Board members will bring experience in or knowledge of their sector.</w:t>
            </w:r>
          </w:p>
          <w:p w14:paraId="4461745B" w14:textId="77777777" w:rsidR="008354B4" w:rsidRPr="00D038ED" w:rsidRDefault="008354B4" w:rsidP="00EB6310"/>
          <w:p w14:paraId="69B9B01B" w14:textId="7E69E72A" w:rsidR="008354B4" w:rsidRPr="00D038ED" w:rsidRDefault="008354B4" w:rsidP="00EB6310">
            <w:r w:rsidRPr="00D038ED">
              <w:t xml:space="preserve">The Board Chair will hold a non-voting position </w:t>
            </w:r>
            <w:r>
              <w:t xml:space="preserve">on the Combined </w:t>
            </w:r>
            <w:proofErr w:type="gramStart"/>
            <w:r>
              <w:t>Authority</w:t>
            </w:r>
            <w:proofErr w:type="gramEnd"/>
            <w:r>
              <w:t xml:space="preserve"> a</w:t>
            </w:r>
            <w:r w:rsidRPr="00D038ED">
              <w:t xml:space="preserve">nd this will be </w:t>
            </w:r>
            <w:r w:rsidR="004E2AE9">
              <w:t>a</w:t>
            </w:r>
            <w:r w:rsidRPr="00D038ED">
              <w:t xml:space="preserve"> formal link </w:t>
            </w:r>
            <w:r w:rsidRPr="00D038ED">
              <w:lastRenderedPageBreak/>
              <w:t xml:space="preserve">into the governance structures of </w:t>
            </w:r>
            <w:r>
              <w:t>the Combined Authority</w:t>
            </w:r>
            <w:r w:rsidRPr="00D038ED">
              <w:t>.</w:t>
            </w:r>
            <w:r w:rsidR="004E2AE9">
              <w:t xml:space="preserve">  </w:t>
            </w:r>
          </w:p>
          <w:p w14:paraId="13A5EEFA" w14:textId="77777777" w:rsidR="008354B4" w:rsidRPr="00D038ED" w:rsidRDefault="008354B4" w:rsidP="00EB6310"/>
          <w:p w14:paraId="5FCDA743" w14:textId="1B980FDF" w:rsidR="008354B4" w:rsidRPr="00D038ED" w:rsidRDefault="008354B4" w:rsidP="00EB6310">
            <w:r w:rsidRPr="00D038ED">
              <w:t xml:space="preserve">Board members will generally be appointed for a 3-year term (although initially appointments will be made for </w:t>
            </w:r>
            <w:proofErr w:type="gramStart"/>
            <w:r w:rsidRPr="00D038ED">
              <w:t>2,</w:t>
            </w:r>
            <w:r w:rsidR="007427A2">
              <w:t xml:space="preserve"> </w:t>
            </w:r>
            <w:r w:rsidRPr="00D038ED">
              <w:t>3 and 4 year</w:t>
            </w:r>
            <w:proofErr w:type="gramEnd"/>
            <w:r w:rsidRPr="00D038ED">
              <w:t xml:space="preserve"> terms to ensure staggered future Board renewal). Board members may serve a second term by exception (and through the </w:t>
            </w:r>
            <w:r>
              <w:t>appointment</w:t>
            </w:r>
            <w:r w:rsidRPr="00D038ED">
              <w:t xml:space="preserve"> process).</w:t>
            </w:r>
          </w:p>
          <w:p w14:paraId="6F96A940" w14:textId="77777777" w:rsidR="008354B4" w:rsidRPr="00D038ED" w:rsidRDefault="008354B4" w:rsidP="00EB6310"/>
          <w:p w14:paraId="01E7FC62" w14:textId="77777777" w:rsidR="008354B4" w:rsidRPr="00D038ED" w:rsidRDefault="008354B4" w:rsidP="00EB6310">
            <w:r w:rsidRPr="00D038ED">
              <w:t xml:space="preserve">The Board will </w:t>
            </w:r>
            <w:r>
              <w:t>be</w:t>
            </w:r>
            <w:r w:rsidRPr="00D038ED">
              <w:t xml:space="preserve"> gender</w:t>
            </w:r>
            <w:r>
              <w:t xml:space="preserve"> balanced (50% of seats on the board are for women) and</w:t>
            </w:r>
            <w:r w:rsidRPr="00D038ED">
              <w:t xml:space="preserve"> will reflect LCRCA’s policies on equality, inclusivity and diversity and represent the entire geography of LCR. </w:t>
            </w:r>
          </w:p>
          <w:p w14:paraId="3BC9E018" w14:textId="77777777" w:rsidR="008354B4" w:rsidRDefault="008354B4" w:rsidP="00EB6310"/>
          <w:p w14:paraId="4AA6BDCE" w14:textId="77777777" w:rsidR="008354B4" w:rsidRPr="00D038ED" w:rsidRDefault="008354B4" w:rsidP="00EB6310">
            <w:r w:rsidRPr="00B26197">
              <w:t>Additionally</w:t>
            </w:r>
            <w:r>
              <w:t>,</w:t>
            </w:r>
            <w:r w:rsidRPr="00B26197">
              <w:t xml:space="preserve"> the Board will have the ability to co-opt, for periods of up to 12 months, additional members who bring specific subject matter expertise to any matter under investigation by the Board. </w:t>
            </w:r>
          </w:p>
        </w:tc>
      </w:tr>
      <w:tr w:rsidR="008354B4" w:rsidRPr="00D038ED" w14:paraId="4C5F5420" w14:textId="77777777" w:rsidTr="00EB6310">
        <w:tc>
          <w:tcPr>
            <w:tcW w:w="3256" w:type="dxa"/>
          </w:tcPr>
          <w:p w14:paraId="313656BC" w14:textId="77777777" w:rsidR="008354B4" w:rsidRPr="00D038ED" w:rsidRDefault="008354B4" w:rsidP="00EB6310">
            <w:r w:rsidRPr="00D038ED">
              <w:lastRenderedPageBreak/>
              <w:t>Accountability</w:t>
            </w:r>
          </w:p>
        </w:tc>
        <w:tc>
          <w:tcPr>
            <w:tcW w:w="5760" w:type="dxa"/>
          </w:tcPr>
          <w:p w14:paraId="0CAA44BD" w14:textId="3FD634BD" w:rsidR="008354B4" w:rsidRPr="00D038ED" w:rsidRDefault="008354B4" w:rsidP="00EB6310">
            <w:r w:rsidRPr="00D038ED">
              <w:t>The Board will report on its work to the</w:t>
            </w:r>
            <w:r w:rsidR="007427A2">
              <w:t xml:space="preserve"> CA</w:t>
            </w:r>
            <w:r w:rsidRPr="00D038ED">
              <w:t>.</w:t>
            </w:r>
          </w:p>
          <w:p w14:paraId="7B1BC359" w14:textId="77777777" w:rsidR="008354B4" w:rsidRDefault="008354B4" w:rsidP="00EB6310"/>
          <w:p w14:paraId="0134D0EB" w14:textId="517AC014" w:rsidR="007427A2" w:rsidRDefault="007427A2" w:rsidP="00EB6310">
            <w:r>
              <w:t xml:space="preserve">The Board and its Members will operate in accordance with the following principles: </w:t>
            </w:r>
          </w:p>
          <w:p w14:paraId="5A037F6C" w14:textId="77777777" w:rsidR="007427A2" w:rsidRPr="00D038ED" w:rsidRDefault="007427A2" w:rsidP="00EB6310"/>
          <w:p w14:paraId="7322327A" w14:textId="77777777" w:rsidR="008354B4" w:rsidRPr="00D038ED" w:rsidRDefault="008354B4" w:rsidP="008354B4">
            <w:pPr>
              <w:pStyle w:val="ListParagraph"/>
              <w:numPr>
                <w:ilvl w:val="0"/>
                <w:numId w:val="5"/>
              </w:numPr>
              <w:contextualSpacing w:val="0"/>
            </w:pPr>
            <w:r w:rsidRPr="00D038ED">
              <w:t xml:space="preserve">Individual Members will commit to attending three out of four meetings of the </w:t>
            </w:r>
            <w:r>
              <w:t>Board</w:t>
            </w:r>
            <w:r w:rsidRPr="00D038ED">
              <w:t xml:space="preserve"> as a condition of membership. </w:t>
            </w:r>
          </w:p>
          <w:p w14:paraId="01F769FC" w14:textId="77777777" w:rsidR="008354B4" w:rsidRDefault="008354B4" w:rsidP="008354B4">
            <w:pPr>
              <w:pStyle w:val="ListParagraph"/>
              <w:numPr>
                <w:ilvl w:val="0"/>
                <w:numId w:val="5"/>
              </w:numPr>
              <w:contextualSpacing w:val="0"/>
            </w:pPr>
            <w:r w:rsidRPr="00D038ED">
              <w:t xml:space="preserve">Support a fully inclusive culture. Recognise the promotion of diversity and the elimination of discrimination and adhere to LCRCA policies on equality, </w:t>
            </w:r>
            <w:proofErr w:type="gramStart"/>
            <w:r w:rsidRPr="00D038ED">
              <w:t>diversity</w:t>
            </w:r>
            <w:proofErr w:type="gramEnd"/>
            <w:r w:rsidRPr="00D038ED">
              <w:t xml:space="preserve"> and inclusivity. </w:t>
            </w:r>
          </w:p>
          <w:p w14:paraId="0BA99F2C" w14:textId="77777777" w:rsidR="008354B4" w:rsidRPr="00D038ED" w:rsidRDefault="008354B4" w:rsidP="008354B4">
            <w:pPr>
              <w:pStyle w:val="ListParagraph"/>
              <w:numPr>
                <w:ilvl w:val="0"/>
                <w:numId w:val="5"/>
              </w:numPr>
              <w:contextualSpacing w:val="0"/>
            </w:pPr>
            <w:r w:rsidRPr="005D06A7">
              <w:t>Membership should be broadly representative of the industrial sector composition and geography of the LCR economy.</w:t>
            </w:r>
          </w:p>
          <w:p w14:paraId="054C1E6D" w14:textId="77777777" w:rsidR="008354B4" w:rsidRPr="00D038ED" w:rsidRDefault="008354B4" w:rsidP="008354B4">
            <w:pPr>
              <w:pStyle w:val="ListParagraph"/>
              <w:numPr>
                <w:ilvl w:val="0"/>
                <w:numId w:val="5"/>
              </w:numPr>
              <w:contextualSpacing w:val="0"/>
            </w:pPr>
            <w:r w:rsidRPr="00D038ED">
              <w:t>Maintain high standards of governance at all times.</w:t>
            </w:r>
          </w:p>
          <w:p w14:paraId="5437F1FC" w14:textId="77777777" w:rsidR="008354B4" w:rsidRPr="00D038ED" w:rsidRDefault="008354B4" w:rsidP="008354B4">
            <w:pPr>
              <w:pStyle w:val="ListParagraph"/>
              <w:numPr>
                <w:ilvl w:val="0"/>
                <w:numId w:val="5"/>
              </w:numPr>
              <w:contextualSpacing w:val="0"/>
            </w:pPr>
            <w:r w:rsidRPr="00D038ED">
              <w:t xml:space="preserve">A proportion of the </w:t>
            </w:r>
            <w:r>
              <w:t>B</w:t>
            </w:r>
            <w:r w:rsidRPr="00D038ED">
              <w:t>oard will represent entrepreneurship and will actively support the development of early career practitioners</w:t>
            </w:r>
            <w:r>
              <w:t>.</w:t>
            </w:r>
          </w:p>
          <w:p w14:paraId="014B3C8D" w14:textId="77777777" w:rsidR="008354B4" w:rsidRPr="00D038ED" w:rsidRDefault="008354B4" w:rsidP="00EB6310"/>
          <w:p w14:paraId="3E5E9E4D" w14:textId="6F6CE58B" w:rsidR="008354B4" w:rsidRPr="00D038ED" w:rsidRDefault="007427A2" w:rsidP="00EB6310">
            <w:r>
              <w:t>As a body of the Combined Authority, Board Members agree to conduct themselves in accordance with the following CA policies:</w:t>
            </w:r>
            <w:r w:rsidR="008354B4" w:rsidRPr="00D038ED">
              <w:t xml:space="preserve"> </w:t>
            </w:r>
          </w:p>
          <w:p w14:paraId="4EEBC8D7" w14:textId="77777777" w:rsidR="008354B4" w:rsidRPr="00D038ED" w:rsidRDefault="008354B4" w:rsidP="00EB6310"/>
          <w:p w14:paraId="4684AF61" w14:textId="77777777" w:rsidR="008354B4" w:rsidRPr="00D038ED" w:rsidRDefault="008354B4" w:rsidP="008354B4">
            <w:pPr>
              <w:pStyle w:val="ListParagraph"/>
              <w:numPr>
                <w:ilvl w:val="0"/>
                <w:numId w:val="2"/>
              </w:numPr>
              <w:contextualSpacing w:val="0"/>
            </w:pPr>
            <w:r w:rsidRPr="00D038ED">
              <w:t>Code of Conduct - underpinned by the Seven Principles of Public Life (the Nolan principles)</w:t>
            </w:r>
          </w:p>
          <w:p w14:paraId="6B48FCD2" w14:textId="77777777" w:rsidR="008354B4" w:rsidRPr="00D038ED" w:rsidRDefault="008354B4" w:rsidP="008354B4">
            <w:pPr>
              <w:pStyle w:val="ListParagraph"/>
              <w:numPr>
                <w:ilvl w:val="0"/>
                <w:numId w:val="2"/>
              </w:numPr>
              <w:contextualSpacing w:val="0"/>
            </w:pPr>
            <w:r w:rsidRPr="00D038ED">
              <w:t>Declarations of Interest</w:t>
            </w:r>
          </w:p>
          <w:p w14:paraId="6A17E34C" w14:textId="77777777" w:rsidR="008354B4" w:rsidRPr="00D038ED" w:rsidRDefault="008354B4" w:rsidP="008354B4">
            <w:pPr>
              <w:pStyle w:val="ListParagraph"/>
              <w:numPr>
                <w:ilvl w:val="0"/>
                <w:numId w:val="2"/>
              </w:numPr>
              <w:contextualSpacing w:val="0"/>
            </w:pPr>
            <w:r w:rsidRPr="00D038ED">
              <w:t>Confidential Reporting</w:t>
            </w:r>
          </w:p>
          <w:p w14:paraId="3177C0BD" w14:textId="77777777" w:rsidR="008354B4" w:rsidRPr="00D038ED" w:rsidRDefault="008354B4" w:rsidP="008354B4">
            <w:pPr>
              <w:pStyle w:val="ListParagraph"/>
              <w:numPr>
                <w:ilvl w:val="0"/>
                <w:numId w:val="2"/>
              </w:numPr>
              <w:contextualSpacing w:val="0"/>
            </w:pPr>
            <w:r w:rsidRPr="00D038ED">
              <w:lastRenderedPageBreak/>
              <w:t>Whistleblowing</w:t>
            </w:r>
          </w:p>
          <w:p w14:paraId="5A29DC3D" w14:textId="77777777" w:rsidR="008354B4" w:rsidRPr="00D038ED" w:rsidRDefault="008354B4" w:rsidP="008354B4">
            <w:pPr>
              <w:pStyle w:val="ListParagraph"/>
              <w:numPr>
                <w:ilvl w:val="0"/>
                <w:numId w:val="2"/>
              </w:numPr>
              <w:contextualSpacing w:val="0"/>
            </w:pPr>
            <w:r w:rsidRPr="00D038ED">
              <w:t>Gifts and Hospitality</w:t>
            </w:r>
          </w:p>
          <w:p w14:paraId="12F2F83D" w14:textId="77777777" w:rsidR="008354B4" w:rsidRPr="00D038ED" w:rsidRDefault="008354B4" w:rsidP="00EB6310"/>
          <w:p w14:paraId="7B92DE19" w14:textId="4A2BED90" w:rsidR="008354B4" w:rsidRPr="00D038ED" w:rsidRDefault="008354B4" w:rsidP="007427A2">
            <w:r w:rsidRPr="00D038ED">
              <w:t>On issues of conduct, the Board</w:t>
            </w:r>
            <w:r w:rsidR="007427A2">
              <w:t xml:space="preserve"> and its Members</w:t>
            </w:r>
            <w:r w:rsidRPr="00D038ED">
              <w:t xml:space="preserve"> </w:t>
            </w:r>
            <w:r w:rsidR="007427A2">
              <w:t>are</w:t>
            </w:r>
            <w:r w:rsidRPr="00D038ED">
              <w:t xml:space="preserve"> accountable to the</w:t>
            </w:r>
            <w:r w:rsidR="007427A2">
              <w:t xml:space="preserve"> </w:t>
            </w:r>
            <w:r w:rsidR="00760C75">
              <w:t xml:space="preserve">CA and its statutory officers, namely the Chief Executive, Monitoring </w:t>
            </w:r>
            <w:proofErr w:type="gramStart"/>
            <w:r w:rsidR="00760C75">
              <w:t>Officer</w:t>
            </w:r>
            <w:proofErr w:type="gramEnd"/>
            <w:r w:rsidR="00760C75">
              <w:t xml:space="preserve"> and Executive Director – Corporate Services.</w:t>
            </w:r>
            <w:r w:rsidRPr="00D038ED">
              <w:t xml:space="preserve"> </w:t>
            </w:r>
          </w:p>
        </w:tc>
      </w:tr>
      <w:tr w:rsidR="008354B4" w:rsidRPr="00D038ED" w14:paraId="1A4E6592" w14:textId="77777777" w:rsidTr="00EB6310">
        <w:tc>
          <w:tcPr>
            <w:tcW w:w="3256" w:type="dxa"/>
          </w:tcPr>
          <w:p w14:paraId="002B30F6" w14:textId="77777777" w:rsidR="008354B4" w:rsidRPr="00D038ED" w:rsidRDefault="008354B4" w:rsidP="00EB6310">
            <w:r w:rsidRPr="00D038ED">
              <w:lastRenderedPageBreak/>
              <w:t>Review</w:t>
            </w:r>
          </w:p>
        </w:tc>
        <w:tc>
          <w:tcPr>
            <w:tcW w:w="5760" w:type="dxa"/>
          </w:tcPr>
          <w:p w14:paraId="1401FEF9" w14:textId="77777777" w:rsidR="008354B4" w:rsidRPr="00D038ED" w:rsidRDefault="008354B4" w:rsidP="00EB6310">
            <w:r w:rsidRPr="00D038ED">
              <w:t xml:space="preserve">The participation and involvement of Board Members will be monitored on a rolling 12-month basis. </w:t>
            </w:r>
          </w:p>
          <w:p w14:paraId="2B9F5360" w14:textId="77777777" w:rsidR="008354B4" w:rsidRPr="00D038ED" w:rsidRDefault="008354B4" w:rsidP="00EB6310"/>
        </w:tc>
      </w:tr>
      <w:tr w:rsidR="008354B4" w:rsidRPr="00D038ED" w14:paraId="31E65C1D" w14:textId="77777777" w:rsidTr="00EB6310">
        <w:tc>
          <w:tcPr>
            <w:tcW w:w="3256" w:type="dxa"/>
          </w:tcPr>
          <w:p w14:paraId="4C9B59F8" w14:textId="77777777" w:rsidR="008354B4" w:rsidRPr="00D038ED" w:rsidRDefault="008354B4" w:rsidP="00EB6310">
            <w:r w:rsidRPr="00D038ED">
              <w:t>Working approach</w:t>
            </w:r>
          </w:p>
        </w:tc>
        <w:tc>
          <w:tcPr>
            <w:tcW w:w="5760" w:type="dxa"/>
          </w:tcPr>
          <w:p w14:paraId="7ED76751" w14:textId="77777777" w:rsidR="008354B4" w:rsidRPr="00D038ED" w:rsidRDefault="008354B4" w:rsidP="00EB6310">
            <w:r w:rsidRPr="00D038ED">
              <w:t xml:space="preserve">The Board is intended to bring insights to the </w:t>
            </w:r>
            <w:r>
              <w:t>Combined Authority</w:t>
            </w:r>
            <w:r w:rsidRPr="00D038ED">
              <w:t xml:space="preserve"> and to identify priority workstreams. </w:t>
            </w:r>
          </w:p>
          <w:p w14:paraId="28A381AB" w14:textId="77777777" w:rsidR="008354B4" w:rsidRPr="00D038ED" w:rsidRDefault="008354B4" w:rsidP="00EB6310"/>
          <w:p w14:paraId="23B23EAF" w14:textId="77777777" w:rsidR="008354B4" w:rsidRPr="00D038ED" w:rsidRDefault="008354B4" w:rsidP="00EB6310">
            <w:r w:rsidRPr="00D038ED">
              <w:t>The Board will seek to influence public and private sector bodies to participate in and deliver those projects identified as priorities.</w:t>
            </w:r>
          </w:p>
          <w:p w14:paraId="081B96F2" w14:textId="77777777" w:rsidR="008354B4" w:rsidRPr="00D038ED" w:rsidRDefault="008354B4" w:rsidP="00EB6310"/>
          <w:p w14:paraId="257A6D73" w14:textId="77777777" w:rsidR="008354B4" w:rsidRPr="00D038ED" w:rsidRDefault="008354B4" w:rsidP="00EB6310">
            <w:r w:rsidRPr="00D038ED">
              <w:t>Board members will also be able to join cross sector ‘task groups’ working on issues common to sectors and likely to include (although the Board will determine) issues such as:</w:t>
            </w:r>
          </w:p>
          <w:p w14:paraId="64C59CB5" w14:textId="77777777" w:rsidR="008354B4" w:rsidRPr="00D038ED" w:rsidRDefault="008354B4" w:rsidP="00EB6310"/>
          <w:p w14:paraId="0C19B3FC" w14:textId="77777777" w:rsidR="008354B4" w:rsidRPr="00D038ED" w:rsidRDefault="008354B4" w:rsidP="008354B4">
            <w:pPr>
              <w:pStyle w:val="ListParagraph"/>
              <w:numPr>
                <w:ilvl w:val="0"/>
                <w:numId w:val="3"/>
              </w:numPr>
              <w:contextualSpacing w:val="0"/>
            </w:pPr>
            <w:r w:rsidRPr="00D038ED">
              <w:t>Decarbonisation</w:t>
            </w:r>
          </w:p>
          <w:p w14:paraId="511A710F" w14:textId="77777777" w:rsidR="008354B4" w:rsidRPr="00D038ED" w:rsidRDefault="008354B4" w:rsidP="008354B4">
            <w:pPr>
              <w:pStyle w:val="ListParagraph"/>
              <w:numPr>
                <w:ilvl w:val="0"/>
                <w:numId w:val="3"/>
              </w:numPr>
              <w:contextualSpacing w:val="0"/>
            </w:pPr>
            <w:r w:rsidRPr="00D038ED">
              <w:t>Digitalisation</w:t>
            </w:r>
          </w:p>
          <w:p w14:paraId="7E703439" w14:textId="77777777" w:rsidR="008354B4" w:rsidRPr="00D038ED" w:rsidRDefault="008354B4" w:rsidP="008354B4">
            <w:pPr>
              <w:pStyle w:val="ListParagraph"/>
              <w:numPr>
                <w:ilvl w:val="0"/>
                <w:numId w:val="3"/>
              </w:numPr>
              <w:contextualSpacing w:val="0"/>
            </w:pPr>
            <w:r w:rsidRPr="00D038ED">
              <w:t>Social Value</w:t>
            </w:r>
          </w:p>
          <w:p w14:paraId="31905E80" w14:textId="77777777" w:rsidR="008354B4" w:rsidRDefault="008354B4" w:rsidP="008354B4">
            <w:pPr>
              <w:pStyle w:val="ListParagraph"/>
              <w:numPr>
                <w:ilvl w:val="0"/>
                <w:numId w:val="3"/>
              </w:numPr>
              <w:contextualSpacing w:val="0"/>
            </w:pPr>
            <w:r w:rsidRPr="00D038ED">
              <w:t>Skills</w:t>
            </w:r>
          </w:p>
          <w:p w14:paraId="0A862EA4" w14:textId="77777777" w:rsidR="008354B4" w:rsidRDefault="008354B4" w:rsidP="00EB6310"/>
          <w:p w14:paraId="58B810C2" w14:textId="77777777" w:rsidR="008354B4" w:rsidRPr="00D038ED" w:rsidRDefault="008354B4" w:rsidP="00EB6310">
            <w:r w:rsidRPr="008C2D65">
              <w:t xml:space="preserve">The Board will nominate a member as Lead for Equality, </w:t>
            </w:r>
            <w:proofErr w:type="gramStart"/>
            <w:r w:rsidRPr="008C2D65">
              <w:t>Diversity</w:t>
            </w:r>
            <w:proofErr w:type="gramEnd"/>
            <w:r w:rsidRPr="008C2D65">
              <w:t xml:space="preserve"> and Inclusion.</w:t>
            </w:r>
          </w:p>
          <w:p w14:paraId="2867D1BF" w14:textId="77777777" w:rsidR="008354B4" w:rsidRPr="00D038ED" w:rsidRDefault="008354B4" w:rsidP="00EB6310">
            <w:pPr>
              <w:pStyle w:val="ListParagraph"/>
              <w:contextualSpacing w:val="0"/>
            </w:pPr>
          </w:p>
        </w:tc>
      </w:tr>
      <w:tr w:rsidR="008354B4" w:rsidRPr="00D038ED" w14:paraId="660346F9" w14:textId="77777777" w:rsidTr="00EB6310">
        <w:tc>
          <w:tcPr>
            <w:tcW w:w="3256" w:type="dxa"/>
          </w:tcPr>
          <w:p w14:paraId="6D688233" w14:textId="77777777" w:rsidR="008354B4" w:rsidRPr="00D038ED" w:rsidRDefault="008354B4" w:rsidP="00EB6310">
            <w:r w:rsidRPr="00D038ED">
              <w:t>Meetings</w:t>
            </w:r>
          </w:p>
        </w:tc>
        <w:tc>
          <w:tcPr>
            <w:tcW w:w="5760" w:type="dxa"/>
          </w:tcPr>
          <w:p w14:paraId="5D57CB2C" w14:textId="77777777" w:rsidR="008354B4" w:rsidRPr="00D038ED" w:rsidRDefault="008354B4" w:rsidP="00EB6310">
            <w:r w:rsidRPr="00D038ED">
              <w:t xml:space="preserve">The Board will meet quarterly with the potential for a small number of additional ad hoc meetings during the year. </w:t>
            </w:r>
          </w:p>
          <w:p w14:paraId="0C1A3F83" w14:textId="77777777" w:rsidR="008354B4" w:rsidRPr="00D038ED" w:rsidRDefault="008354B4" w:rsidP="00EB6310"/>
        </w:tc>
      </w:tr>
      <w:tr w:rsidR="008354B4" w:rsidRPr="00D038ED" w14:paraId="19A7B0B8" w14:textId="77777777" w:rsidTr="00EB6310">
        <w:tc>
          <w:tcPr>
            <w:tcW w:w="3256" w:type="dxa"/>
          </w:tcPr>
          <w:p w14:paraId="26C6BC1D" w14:textId="77777777" w:rsidR="008354B4" w:rsidRPr="00D038ED" w:rsidRDefault="008354B4" w:rsidP="00EB6310">
            <w:r w:rsidRPr="00D038ED">
              <w:t>Resources</w:t>
            </w:r>
          </w:p>
        </w:tc>
        <w:tc>
          <w:tcPr>
            <w:tcW w:w="5760" w:type="dxa"/>
          </w:tcPr>
          <w:p w14:paraId="312B6F77" w14:textId="77777777" w:rsidR="008354B4" w:rsidRPr="00D038ED" w:rsidRDefault="008354B4" w:rsidP="00EB6310">
            <w:r w:rsidRPr="00D038ED">
              <w:t xml:space="preserve">The Board will be supported by a secretariat function provided through </w:t>
            </w:r>
            <w:r>
              <w:t>the Combined Authority.</w:t>
            </w:r>
          </w:p>
          <w:p w14:paraId="6A5FF448" w14:textId="77777777" w:rsidR="008354B4" w:rsidRPr="00D038ED" w:rsidRDefault="008354B4" w:rsidP="00EB6310"/>
          <w:p w14:paraId="7E2B5601" w14:textId="77777777" w:rsidR="008354B4" w:rsidRPr="00D038ED" w:rsidRDefault="008354B4" w:rsidP="00EB6310">
            <w:r w:rsidRPr="00D038ED">
              <w:t xml:space="preserve">Board members would be expected to provide c1-2 days of support per month. Board positions are not remunerated. </w:t>
            </w:r>
          </w:p>
          <w:p w14:paraId="5F8F5B1F" w14:textId="77777777" w:rsidR="008354B4" w:rsidRPr="00D038ED" w:rsidRDefault="008354B4" w:rsidP="00EB6310"/>
        </w:tc>
      </w:tr>
    </w:tbl>
    <w:p w14:paraId="5133515E" w14:textId="79B00566" w:rsidR="00486B32" w:rsidRDefault="00486B32" w:rsidP="008354B4">
      <w:pPr>
        <w:pStyle w:val="HeadingLevel2"/>
        <w:numPr>
          <w:ilvl w:val="0"/>
          <w:numId w:val="0"/>
        </w:numPr>
        <w:rPr>
          <w:b w:val="0"/>
          <w:bCs/>
        </w:rPr>
      </w:pPr>
    </w:p>
    <w:p w14:paraId="36259C97" w14:textId="5ECB2E0A" w:rsidR="008354B4" w:rsidRDefault="00486B32" w:rsidP="00486B32">
      <w:pPr>
        <w:spacing w:after="160" w:line="259" w:lineRule="auto"/>
      </w:pPr>
      <w:r>
        <w:rPr>
          <w:b/>
          <w:bCs/>
        </w:rPr>
        <w:br w:type="page"/>
      </w:r>
      <w:r w:rsidR="00BA2A4B">
        <w:lastRenderedPageBreak/>
        <w:t>APPENDIX</w:t>
      </w:r>
    </w:p>
    <w:p w14:paraId="7D174940" w14:textId="77777777" w:rsidR="00BA2A4B" w:rsidRPr="00AC71EE" w:rsidRDefault="00BA2A4B" w:rsidP="00AC71EE">
      <w:pPr>
        <w:pStyle w:val="HeadingLevel2"/>
        <w:numPr>
          <w:ilvl w:val="0"/>
          <w:numId w:val="0"/>
        </w:numPr>
        <w:jc w:val="center"/>
      </w:pPr>
    </w:p>
    <w:p w14:paraId="0595BE74" w14:textId="77777777" w:rsidR="00BA2A4B" w:rsidRPr="00BA2A4B" w:rsidRDefault="00BA2A4B" w:rsidP="00AC71EE">
      <w:pPr>
        <w:ind w:left="2160" w:firstLine="720"/>
        <w:rPr>
          <w:b/>
          <w:bCs/>
        </w:rPr>
      </w:pPr>
      <w:r w:rsidRPr="00BA2A4B">
        <w:rPr>
          <w:b/>
          <w:bCs/>
        </w:rPr>
        <w:t>PART 3 – SECTION J</w:t>
      </w:r>
    </w:p>
    <w:p w14:paraId="5CB81ADE" w14:textId="77777777" w:rsidR="00BA2A4B" w:rsidRPr="00BA2A4B" w:rsidRDefault="00BA2A4B" w:rsidP="00AC71EE">
      <w:pPr>
        <w:ind w:left="1440" w:firstLine="720"/>
        <w:rPr>
          <w:b/>
          <w:bCs/>
        </w:rPr>
      </w:pPr>
      <w:r w:rsidRPr="00BA2A4B">
        <w:rPr>
          <w:b/>
          <w:bCs/>
        </w:rPr>
        <w:t>BUSINESS AND ENTERPRISE BOARD</w:t>
      </w:r>
    </w:p>
    <w:p w14:paraId="413D57CA" w14:textId="77777777" w:rsidR="00BA2A4B" w:rsidRDefault="00BA2A4B" w:rsidP="00BA2A4B">
      <w:pPr>
        <w:rPr>
          <w:b/>
          <w:bCs/>
        </w:rPr>
      </w:pPr>
    </w:p>
    <w:p w14:paraId="6A8BFE67" w14:textId="77777777" w:rsidR="00BA2A4B" w:rsidRDefault="00BA2A4B" w:rsidP="00BA2A4B">
      <w:pPr>
        <w:rPr>
          <w:b/>
          <w:bCs/>
        </w:rPr>
      </w:pPr>
    </w:p>
    <w:p w14:paraId="3F3F1866" w14:textId="37665AD9" w:rsidR="00BA2A4B" w:rsidRPr="00AC71EE" w:rsidRDefault="00BA2A4B" w:rsidP="00AC71EE">
      <w:pPr>
        <w:pStyle w:val="ListParagraph"/>
        <w:numPr>
          <w:ilvl w:val="0"/>
          <w:numId w:val="8"/>
        </w:numPr>
        <w:rPr>
          <w:b/>
          <w:bCs/>
        </w:rPr>
      </w:pPr>
      <w:r w:rsidRPr="00AC71EE">
        <w:rPr>
          <w:b/>
          <w:bCs/>
        </w:rPr>
        <w:t>Overview</w:t>
      </w:r>
    </w:p>
    <w:p w14:paraId="1D288AED" w14:textId="77777777" w:rsidR="00BA2A4B" w:rsidRDefault="00BA2A4B" w:rsidP="00BA2A4B"/>
    <w:p w14:paraId="7297D20D" w14:textId="2D792FB9" w:rsidR="00BA2A4B" w:rsidRPr="00BA2A4B" w:rsidRDefault="00BA2A4B" w:rsidP="00BA2A4B">
      <w:r w:rsidRPr="00BA2A4B">
        <w:t>1.1 The Business and Enterprise Board’s role is to represent the voice of business within the Liverpool City Region. This will include providing expert advice on the role of business and different sectors on the performance of the LCR economy, to influence policy, stimulate economic growth, productivity and competitiveness whilst supporting the Combined Authority in its ambitions for inclusive growth and sustainability.</w:t>
      </w:r>
    </w:p>
    <w:p w14:paraId="5A287A3B" w14:textId="77777777" w:rsidR="00BA2A4B" w:rsidRDefault="00BA2A4B" w:rsidP="00BA2A4B"/>
    <w:p w14:paraId="56B6B704" w14:textId="77777777" w:rsidR="00BA2A4B" w:rsidRDefault="00BA2A4B" w:rsidP="00BA2A4B"/>
    <w:p w14:paraId="45622420" w14:textId="6C06FA78" w:rsidR="00BA2A4B" w:rsidRPr="00AC71EE" w:rsidRDefault="00BA2A4B" w:rsidP="00AC71EE">
      <w:pPr>
        <w:pStyle w:val="ListParagraph"/>
        <w:numPr>
          <w:ilvl w:val="0"/>
          <w:numId w:val="8"/>
        </w:numPr>
        <w:rPr>
          <w:b/>
          <w:bCs/>
        </w:rPr>
      </w:pPr>
      <w:r w:rsidRPr="00AC71EE">
        <w:rPr>
          <w:b/>
          <w:bCs/>
        </w:rPr>
        <w:t>Membership</w:t>
      </w:r>
    </w:p>
    <w:p w14:paraId="58B67DDA" w14:textId="77777777" w:rsidR="00BA2A4B" w:rsidRDefault="00BA2A4B" w:rsidP="00BA2A4B"/>
    <w:p w14:paraId="6110AC93" w14:textId="5BA15E96" w:rsidR="00BA2A4B" w:rsidRPr="00BA2A4B" w:rsidRDefault="00BA2A4B" w:rsidP="00BA2A4B">
      <w:r w:rsidRPr="00BA2A4B">
        <w:t>2.1 Board Members will be selected and appointed by the Combined Authority following an open recruitment process. Chairs of sector specific boards that support the role of the Business and Enterprise Board may also be appointed as Board Members. The Chair of the Business and Enterprise Board will be a non-voting Member of the Combined Authority. Initial appointments of Board Members will be for terms of not exceeding four years.</w:t>
      </w:r>
    </w:p>
    <w:p w14:paraId="2A313BBC" w14:textId="77777777" w:rsidR="00BA2A4B" w:rsidRDefault="00BA2A4B" w:rsidP="00BA2A4B"/>
    <w:p w14:paraId="57B97225" w14:textId="2B886256" w:rsidR="00BA2A4B" w:rsidRPr="00BA2A4B" w:rsidRDefault="00BA2A4B" w:rsidP="00BA2A4B">
      <w:r w:rsidRPr="00BA2A4B">
        <w:t>2.2 The Business and Enterprise Board will have gender parity, will reflect Combined Authority’s policies on equality, inclusivity and diversity and will represent the entire geography of Liverpool City Region.</w:t>
      </w:r>
    </w:p>
    <w:p w14:paraId="624FBB79" w14:textId="77777777" w:rsidR="00BA2A4B" w:rsidRDefault="00BA2A4B" w:rsidP="00BA2A4B"/>
    <w:p w14:paraId="005CE11E" w14:textId="7BB0F821" w:rsidR="00BA2A4B" w:rsidRPr="00AC71EE" w:rsidRDefault="00BA2A4B" w:rsidP="00AC71EE">
      <w:pPr>
        <w:pStyle w:val="ListParagraph"/>
        <w:numPr>
          <w:ilvl w:val="0"/>
          <w:numId w:val="8"/>
        </w:numPr>
        <w:rPr>
          <w:b/>
          <w:bCs/>
        </w:rPr>
      </w:pPr>
      <w:r w:rsidRPr="00AC71EE">
        <w:rPr>
          <w:b/>
          <w:bCs/>
        </w:rPr>
        <w:t>Meetings and Procedure</w:t>
      </w:r>
    </w:p>
    <w:p w14:paraId="355AE932" w14:textId="77777777" w:rsidR="00BA2A4B" w:rsidRDefault="00BA2A4B" w:rsidP="00BA2A4B"/>
    <w:p w14:paraId="0634F00D" w14:textId="1B26AA2B" w:rsidR="00BA2A4B" w:rsidRPr="00BA2A4B" w:rsidRDefault="00BA2A4B" w:rsidP="00BA2A4B">
      <w:r w:rsidRPr="00BA2A4B">
        <w:t>3.1 The Business and Enterprise Board will conduct its business in accordance with its terms of reference which will be agreed by its Board Members and approved by the Combined Authority.</w:t>
      </w:r>
    </w:p>
    <w:p w14:paraId="3E436E55" w14:textId="77777777" w:rsidR="00BA2A4B" w:rsidRDefault="00BA2A4B" w:rsidP="00BA2A4B"/>
    <w:p w14:paraId="37E9E663" w14:textId="5AC5410F" w:rsidR="00BA2A4B" w:rsidRPr="00AC71EE" w:rsidRDefault="00BA2A4B" w:rsidP="00AC71EE">
      <w:pPr>
        <w:pStyle w:val="ListParagraph"/>
        <w:numPr>
          <w:ilvl w:val="0"/>
          <w:numId w:val="8"/>
        </w:numPr>
        <w:rPr>
          <w:b/>
          <w:bCs/>
        </w:rPr>
      </w:pPr>
      <w:r w:rsidRPr="00AC71EE">
        <w:rPr>
          <w:b/>
          <w:bCs/>
        </w:rPr>
        <w:t>Delegation</w:t>
      </w:r>
    </w:p>
    <w:p w14:paraId="1D86E328" w14:textId="77777777" w:rsidR="00BA2A4B" w:rsidRDefault="00BA2A4B" w:rsidP="00BA2A4B"/>
    <w:p w14:paraId="233826A4" w14:textId="6897AAF8" w:rsidR="00BA2A4B" w:rsidRPr="00BA2A4B" w:rsidRDefault="00BA2A4B" w:rsidP="00BA2A4B">
      <w:r w:rsidRPr="00BA2A4B">
        <w:t>4.1 The Business and Enterprise Board may establish such Sub-Boards and ad-hoc Task and Finish Groups as it considers expedient to assist it.</w:t>
      </w:r>
    </w:p>
    <w:p w14:paraId="715BC394" w14:textId="77777777" w:rsidR="00BA2A4B" w:rsidRDefault="00BA2A4B" w:rsidP="00BA2A4B"/>
    <w:p w14:paraId="3C2F1787" w14:textId="47429136" w:rsidR="00BA2A4B" w:rsidRPr="00AC71EE" w:rsidRDefault="00BA2A4B" w:rsidP="00AC71EE">
      <w:pPr>
        <w:pStyle w:val="ListParagraph"/>
        <w:numPr>
          <w:ilvl w:val="0"/>
          <w:numId w:val="8"/>
        </w:numPr>
        <w:rPr>
          <w:b/>
          <w:bCs/>
        </w:rPr>
      </w:pPr>
      <w:r w:rsidRPr="00AC71EE">
        <w:rPr>
          <w:b/>
          <w:bCs/>
        </w:rPr>
        <w:t>Functions</w:t>
      </w:r>
    </w:p>
    <w:p w14:paraId="57327F18" w14:textId="77777777" w:rsidR="00BA2A4B" w:rsidRDefault="00BA2A4B" w:rsidP="00BA2A4B"/>
    <w:p w14:paraId="7C31A488" w14:textId="622C43D0" w:rsidR="00BF4661" w:rsidRDefault="00BA2A4B" w:rsidP="00BA2A4B">
      <w:r w:rsidRPr="00BA2A4B">
        <w:t>5.1 The functions of the Business and Enterprise Board will be set out in its terms of reference and approved by the Combined Authority. Amendments to the Board’s functions will require Combined Authority approval and may be proposed by either its Board Members (acting collectively) or the Combined Authority.</w:t>
      </w:r>
    </w:p>
    <w:sectPr w:rsidR="00BF4661" w:rsidSect="006D5F6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1F37" w14:textId="77777777" w:rsidR="008F2664" w:rsidRDefault="00760C75">
      <w:r>
        <w:separator/>
      </w:r>
    </w:p>
  </w:endnote>
  <w:endnote w:type="continuationSeparator" w:id="0">
    <w:p w14:paraId="3F1A03EE" w14:textId="77777777" w:rsidR="008F2664" w:rsidRDefault="0076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0454925"/>
      <w:docPartObj>
        <w:docPartGallery w:val="Page Numbers (Bottom of Page)"/>
        <w:docPartUnique/>
      </w:docPartObj>
    </w:sdtPr>
    <w:sdtEndPr>
      <w:rPr>
        <w:rStyle w:val="PageNumber"/>
      </w:rPr>
    </w:sdtEndPr>
    <w:sdtContent>
      <w:p w14:paraId="08C1A354" w14:textId="77777777" w:rsidR="00AC71EE" w:rsidRDefault="00F8352A" w:rsidP="004A3F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61606604"/>
      <w:docPartObj>
        <w:docPartGallery w:val="Page Numbers (Bottom of Page)"/>
        <w:docPartUnique/>
      </w:docPartObj>
    </w:sdtPr>
    <w:sdtEndPr>
      <w:rPr>
        <w:rStyle w:val="PageNumber"/>
      </w:rPr>
    </w:sdtEndPr>
    <w:sdtContent>
      <w:p w14:paraId="07A38FFB" w14:textId="77777777" w:rsidR="00AC71EE" w:rsidRDefault="00F8352A" w:rsidP="00137DF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D74815" w14:textId="77777777" w:rsidR="00AC71EE" w:rsidRDefault="00AC71EE" w:rsidP="00137D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446739095"/>
      <w:docPartObj>
        <w:docPartGallery w:val="Page Numbers (Bottom of Page)"/>
        <w:docPartUnique/>
      </w:docPartObj>
    </w:sdtPr>
    <w:sdtEndPr>
      <w:rPr>
        <w:rStyle w:val="PageNumber"/>
      </w:rPr>
    </w:sdtEndPr>
    <w:sdtContent>
      <w:p w14:paraId="061DD91E" w14:textId="77777777" w:rsidR="00AC71EE" w:rsidRPr="00137DF3" w:rsidRDefault="00F8352A" w:rsidP="00137DF3">
        <w:pPr>
          <w:pStyle w:val="Footer"/>
          <w:framePr w:wrap="none" w:vAnchor="text" w:hAnchor="page" w:x="10880" w:y="135"/>
          <w:rPr>
            <w:rStyle w:val="PageNumber"/>
            <w:sz w:val="20"/>
            <w:szCs w:val="20"/>
          </w:rPr>
        </w:pPr>
        <w:r w:rsidRPr="00137DF3">
          <w:rPr>
            <w:rStyle w:val="PageNumber"/>
            <w:sz w:val="20"/>
            <w:szCs w:val="20"/>
          </w:rPr>
          <w:fldChar w:fldCharType="begin"/>
        </w:r>
        <w:r w:rsidRPr="00137DF3">
          <w:rPr>
            <w:rStyle w:val="PageNumber"/>
            <w:sz w:val="20"/>
            <w:szCs w:val="20"/>
          </w:rPr>
          <w:instrText xml:space="preserve"> PAGE </w:instrText>
        </w:r>
        <w:r w:rsidRPr="00137DF3">
          <w:rPr>
            <w:rStyle w:val="PageNumber"/>
            <w:sz w:val="20"/>
            <w:szCs w:val="20"/>
          </w:rPr>
          <w:fldChar w:fldCharType="separate"/>
        </w:r>
        <w:r w:rsidRPr="00137DF3">
          <w:rPr>
            <w:rStyle w:val="PageNumber"/>
            <w:noProof/>
            <w:sz w:val="20"/>
            <w:szCs w:val="20"/>
          </w:rPr>
          <w:t>1</w:t>
        </w:r>
        <w:r w:rsidRPr="00137DF3">
          <w:rPr>
            <w:rStyle w:val="PageNumber"/>
            <w:sz w:val="20"/>
            <w:szCs w:val="20"/>
          </w:rPr>
          <w:fldChar w:fldCharType="end"/>
        </w:r>
      </w:p>
    </w:sdtContent>
  </w:sdt>
  <w:p w14:paraId="421F11DD" w14:textId="7A34016E" w:rsidR="00AC71EE" w:rsidRDefault="00F8352A" w:rsidP="00137DF3">
    <w:pPr>
      <w:pStyle w:val="Footer"/>
      <w:ind w:right="360"/>
    </w:pPr>
    <w:r>
      <w:rPr>
        <w:noProof/>
      </w:rPr>
      <mc:AlternateContent>
        <mc:Choice Requires="wps">
          <w:drawing>
            <wp:anchor distT="0" distB="0" distL="114300" distR="114300" simplePos="0" relativeHeight="251660288" behindDoc="0" locked="0" layoutInCell="1" allowOverlap="1" wp14:anchorId="7B11D63E" wp14:editId="7654F983">
              <wp:simplePos x="0" y="0"/>
              <wp:positionH relativeFrom="column">
                <wp:posOffset>-540327</wp:posOffset>
              </wp:positionH>
              <wp:positionV relativeFrom="paragraph">
                <wp:posOffset>-144838</wp:posOffset>
              </wp:positionV>
              <wp:extent cx="6858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35A1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55pt,-11.4pt" to="497.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" strokecolor="gray [1629]" strokeweight="1pt">
              <v:stroke joinstyle="miter"/>
            </v:line>
          </w:pict>
        </mc:Fallback>
      </mc:AlternateContent>
    </w:r>
    <w:r>
      <w:rPr>
        <w:noProof/>
      </w:rPr>
      <w:drawing>
        <wp:anchor distT="0" distB="0" distL="114300" distR="114300" simplePos="0" relativeHeight="251659264" behindDoc="1" locked="0" layoutInCell="1" allowOverlap="1" wp14:anchorId="34F5137F" wp14:editId="38F9C12F">
          <wp:simplePos x="0" y="0"/>
          <wp:positionH relativeFrom="column">
            <wp:posOffset>-581891</wp:posOffset>
          </wp:positionH>
          <wp:positionV relativeFrom="paragraph">
            <wp:posOffset>-34001</wp:posOffset>
          </wp:positionV>
          <wp:extent cx="2073430" cy="408709"/>
          <wp:effectExtent l="0" t="0" r="0" b="0"/>
          <wp:wrapNone/>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rpool devo logo lockup client_colour.png"/>
                  <pic:cNvPicPr/>
                </pic:nvPicPr>
                <pic:blipFill>
                  <a:blip r:embed="rId1">
                    <a:extLst>
                      <a:ext uri="{28A0092B-C50C-407E-A947-70E740481C1C}">
                        <a14:useLocalDpi xmlns:a14="http://schemas.microsoft.com/office/drawing/2010/main" val="0"/>
                      </a:ext>
                    </a:extLst>
                  </a:blip>
                  <a:stretch>
                    <a:fillRect/>
                  </a:stretch>
                </pic:blipFill>
                <pic:spPr>
                  <a:xfrm>
                    <a:off x="0" y="0"/>
                    <a:ext cx="2110135" cy="415944"/>
                  </a:xfrm>
                  <a:prstGeom prst="rect">
                    <a:avLst/>
                  </a:prstGeom>
                </pic:spPr>
              </pic:pic>
            </a:graphicData>
          </a:graphic>
          <wp14:sizeRelH relativeFrom="page">
            <wp14:pctWidth>0</wp14:pctWidth>
          </wp14:sizeRelH>
          <wp14:sizeRelV relativeFrom="page">
            <wp14:pctHeight>0</wp14:pctHeight>
          </wp14:sizeRelV>
        </wp:anchor>
      </w:drawing>
    </w:r>
    <w:r w:rsidR="006D5F6D">
      <w:tab/>
    </w:r>
    <w:r w:rsidR="006D5F6D" w:rsidRPr="006D5F6D">
      <w:rPr>
        <w:sz w:val="18"/>
        <w:szCs w:val="18"/>
      </w:rPr>
      <w:t>Approved – 2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BBBB" w14:textId="77777777" w:rsidR="00AC71EE" w:rsidRDefault="00AC7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F71DB" w14:textId="77777777" w:rsidR="008F2664" w:rsidRDefault="00760C75">
      <w:r>
        <w:separator/>
      </w:r>
    </w:p>
  </w:footnote>
  <w:footnote w:type="continuationSeparator" w:id="0">
    <w:p w14:paraId="244C636B" w14:textId="77777777" w:rsidR="008F2664" w:rsidRDefault="00760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D12D" w14:textId="77777777" w:rsidR="00AC71EE" w:rsidRDefault="00AC7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CB51" w14:textId="019194BF" w:rsidR="00AC71EE" w:rsidRDefault="00AC7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1FF1" w14:textId="77777777" w:rsidR="00AC71EE" w:rsidRDefault="00AC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6A8"/>
    <w:multiLevelType w:val="multilevel"/>
    <w:tmpl w:val="80363A2C"/>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ind w:left="720" w:hanging="720"/>
      </w:pPr>
      <w:rPr>
        <w:b/>
        <w:bCs/>
        <w:i w:val="0"/>
        <w:color w:val="auto"/>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8E0666"/>
    <w:multiLevelType w:val="hybridMultilevel"/>
    <w:tmpl w:val="1564F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6031E"/>
    <w:multiLevelType w:val="hybridMultilevel"/>
    <w:tmpl w:val="8872EF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D40B3"/>
    <w:multiLevelType w:val="hybridMultilevel"/>
    <w:tmpl w:val="1D0C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7B0F6F"/>
    <w:multiLevelType w:val="hybridMultilevel"/>
    <w:tmpl w:val="13424694"/>
    <w:lvl w:ilvl="0" w:tplc="08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660A49A2"/>
    <w:multiLevelType w:val="hybridMultilevel"/>
    <w:tmpl w:val="2EE0B0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66653"/>
    <w:multiLevelType w:val="hybridMultilevel"/>
    <w:tmpl w:val="95705B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51EDF"/>
    <w:multiLevelType w:val="hybridMultilevel"/>
    <w:tmpl w:val="FDD6A8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215742">
    <w:abstractNumId w:val="0"/>
  </w:num>
  <w:num w:numId="2" w16cid:durableId="522092293">
    <w:abstractNumId w:val="6"/>
  </w:num>
  <w:num w:numId="3" w16cid:durableId="915625064">
    <w:abstractNumId w:val="2"/>
  </w:num>
  <w:num w:numId="4" w16cid:durableId="1653024428">
    <w:abstractNumId w:val="4"/>
  </w:num>
  <w:num w:numId="5" w16cid:durableId="1015696306">
    <w:abstractNumId w:val="7"/>
  </w:num>
  <w:num w:numId="6" w16cid:durableId="722019615">
    <w:abstractNumId w:val="5"/>
  </w:num>
  <w:num w:numId="7" w16cid:durableId="1069575494">
    <w:abstractNumId w:val="3"/>
  </w:num>
  <w:num w:numId="8" w16cid:durableId="1166239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B4"/>
    <w:rsid w:val="003836DC"/>
    <w:rsid w:val="00414602"/>
    <w:rsid w:val="00486B32"/>
    <w:rsid w:val="004E2AE9"/>
    <w:rsid w:val="006D5F6D"/>
    <w:rsid w:val="007427A2"/>
    <w:rsid w:val="00760C75"/>
    <w:rsid w:val="008354B4"/>
    <w:rsid w:val="008F2664"/>
    <w:rsid w:val="00907C3A"/>
    <w:rsid w:val="009A2D1A"/>
    <w:rsid w:val="00AC71EE"/>
    <w:rsid w:val="00BA2A4B"/>
    <w:rsid w:val="00BF238D"/>
    <w:rsid w:val="00BF4661"/>
    <w:rsid w:val="00F8352A"/>
    <w:rsid w:val="00FD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EE196"/>
  <w15:chartTrackingRefBased/>
  <w15:docId w15:val="{F15E79E9-5947-4D3A-987F-662D339F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4B4"/>
    <w:pPr>
      <w:spacing w:after="0" w:line="240" w:lineRule="auto"/>
    </w:pPr>
    <w:rPr>
      <w:rFonts w:ascii="Arial" w:hAnsi="Arial" w:cs="Arial"/>
      <w:sz w:val="24"/>
      <w:szCs w:val="24"/>
      <w:lang w:eastAsia="en-GB"/>
    </w:rPr>
  </w:style>
  <w:style w:type="paragraph" w:styleId="Heading1">
    <w:name w:val="heading 1"/>
    <w:basedOn w:val="Normal"/>
    <w:next w:val="Normal"/>
    <w:link w:val="Heading1Char"/>
    <w:uiPriority w:val="9"/>
    <w:qFormat/>
    <w:rsid w:val="008354B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B4"/>
    <w:pPr>
      <w:tabs>
        <w:tab w:val="center" w:pos="4513"/>
        <w:tab w:val="right" w:pos="9026"/>
      </w:tabs>
    </w:pPr>
  </w:style>
  <w:style w:type="character" w:customStyle="1" w:styleId="HeaderChar">
    <w:name w:val="Header Char"/>
    <w:basedOn w:val="DefaultParagraphFont"/>
    <w:link w:val="Header"/>
    <w:uiPriority w:val="99"/>
    <w:rsid w:val="008354B4"/>
    <w:rPr>
      <w:rFonts w:ascii="Arial" w:hAnsi="Arial" w:cs="Arial"/>
      <w:sz w:val="24"/>
      <w:szCs w:val="24"/>
      <w:lang w:eastAsia="en-GB"/>
    </w:rPr>
  </w:style>
  <w:style w:type="paragraph" w:styleId="Footer">
    <w:name w:val="footer"/>
    <w:basedOn w:val="Normal"/>
    <w:link w:val="FooterChar"/>
    <w:uiPriority w:val="99"/>
    <w:unhideWhenUsed/>
    <w:rsid w:val="008354B4"/>
    <w:pPr>
      <w:tabs>
        <w:tab w:val="center" w:pos="4513"/>
        <w:tab w:val="right" w:pos="9026"/>
      </w:tabs>
    </w:pPr>
  </w:style>
  <w:style w:type="character" w:customStyle="1" w:styleId="FooterChar">
    <w:name w:val="Footer Char"/>
    <w:basedOn w:val="DefaultParagraphFont"/>
    <w:link w:val="Footer"/>
    <w:uiPriority w:val="99"/>
    <w:rsid w:val="008354B4"/>
    <w:rPr>
      <w:rFonts w:ascii="Arial" w:hAnsi="Arial" w:cs="Arial"/>
      <w:sz w:val="24"/>
      <w:szCs w:val="24"/>
      <w:lang w:eastAsia="en-GB"/>
    </w:rPr>
  </w:style>
  <w:style w:type="character" w:styleId="PageNumber">
    <w:name w:val="page number"/>
    <w:basedOn w:val="DefaultParagraphFont"/>
    <w:uiPriority w:val="99"/>
    <w:semiHidden/>
    <w:unhideWhenUsed/>
    <w:rsid w:val="008354B4"/>
  </w:style>
  <w:style w:type="paragraph" w:styleId="ListParagraph">
    <w:name w:val="List Paragraph"/>
    <w:aliases w:val="F5 List Paragraph,List Paragraph1,List Paragraph11,Dot pt,Colorful List - Accent 11,No Spacing1,List Paragraph Char Char Char,Indicator Text,Numbered Para 1,Bullet 1,Bullet Points,List Paragraph2,MAIN CONTENT,List Paragraph12,OBC Bullet,L"/>
    <w:basedOn w:val="Normal"/>
    <w:link w:val="ListParagraphChar"/>
    <w:uiPriority w:val="34"/>
    <w:qFormat/>
    <w:rsid w:val="008354B4"/>
    <w:pPr>
      <w:ind w:left="720"/>
      <w:contextualSpacing/>
    </w:pPr>
  </w:style>
  <w:style w:type="table" w:styleId="TableGrid">
    <w:name w:val="Table Grid"/>
    <w:basedOn w:val="TableNormal"/>
    <w:uiPriority w:val="39"/>
    <w:rsid w:val="008354B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qFormat/>
    <w:locked/>
    <w:rsid w:val="008354B4"/>
    <w:rPr>
      <w:rFonts w:ascii="Arial" w:hAnsi="Arial" w:cs="Arial"/>
      <w:sz w:val="24"/>
      <w:szCs w:val="24"/>
      <w:lang w:eastAsia="en-GB"/>
    </w:rPr>
  </w:style>
  <w:style w:type="paragraph" w:customStyle="1" w:styleId="HeadingLevel2">
    <w:name w:val="Heading Level 2"/>
    <w:basedOn w:val="ListParagraph"/>
    <w:qFormat/>
    <w:rsid w:val="008354B4"/>
    <w:pPr>
      <w:numPr>
        <w:ilvl w:val="1"/>
        <w:numId w:val="1"/>
      </w:numPr>
      <w:tabs>
        <w:tab w:val="num" w:pos="360"/>
      </w:tabs>
      <w:spacing w:after="240"/>
      <w:ind w:left="0" w:firstLine="0"/>
      <w:contextualSpacing w:val="0"/>
    </w:pPr>
    <w:rPr>
      <w:b/>
      <w:lang w:eastAsia="en-US"/>
    </w:rPr>
  </w:style>
  <w:style w:type="paragraph" w:customStyle="1" w:styleId="NumberedParagraph">
    <w:name w:val="Numbered Paragraph"/>
    <w:basedOn w:val="Normal"/>
    <w:next w:val="Normal"/>
    <w:qFormat/>
    <w:rsid w:val="008354B4"/>
    <w:pPr>
      <w:numPr>
        <w:ilvl w:val="2"/>
        <w:numId w:val="1"/>
      </w:numPr>
      <w:spacing w:after="120"/>
    </w:pPr>
    <w:rPr>
      <w:lang w:eastAsia="en-US"/>
    </w:rPr>
  </w:style>
  <w:style w:type="paragraph" w:customStyle="1" w:styleId="HeadingLevel1">
    <w:name w:val="Heading Level 1"/>
    <w:basedOn w:val="Heading1"/>
    <w:qFormat/>
    <w:rsid w:val="008354B4"/>
    <w:pPr>
      <w:keepNext w:val="0"/>
      <w:keepLines w:val="0"/>
      <w:numPr>
        <w:numId w:val="1"/>
      </w:numPr>
      <w:tabs>
        <w:tab w:val="num" w:pos="360"/>
      </w:tabs>
      <w:spacing w:before="120" w:after="120"/>
      <w:ind w:left="0" w:firstLine="0"/>
    </w:pPr>
    <w:rPr>
      <w:rFonts w:ascii="Arial" w:eastAsiaTheme="minorHAnsi" w:hAnsi="Arial" w:cs="Arial"/>
      <w:b/>
      <w:color w:val="auto"/>
      <w:sz w:val="24"/>
      <w:szCs w:val="24"/>
      <w:lang w:eastAsia="en-US"/>
    </w:rPr>
  </w:style>
  <w:style w:type="paragraph" w:styleId="NormalWeb">
    <w:name w:val="Normal (Web)"/>
    <w:basedOn w:val="Normal"/>
    <w:uiPriority w:val="99"/>
    <w:unhideWhenUsed/>
    <w:rsid w:val="008354B4"/>
    <w:pPr>
      <w:spacing w:before="100" w:beforeAutospacing="1" w:after="100" w:afterAutospacing="1"/>
    </w:pPr>
    <w:rPr>
      <w:rFonts w:ascii="Times New Roman" w:eastAsia="Times New Roman" w:hAnsi="Times New Roman" w:cs="Times New Roman"/>
      <w:lang w:eastAsia="en-US"/>
    </w:rPr>
  </w:style>
  <w:style w:type="character" w:customStyle="1" w:styleId="apple-converted-space">
    <w:name w:val="apple-converted-space"/>
    <w:basedOn w:val="DefaultParagraphFont"/>
    <w:rsid w:val="008354B4"/>
  </w:style>
  <w:style w:type="character" w:customStyle="1" w:styleId="Heading1Char">
    <w:name w:val="Heading 1 Char"/>
    <w:basedOn w:val="DefaultParagraphFont"/>
    <w:link w:val="Heading1"/>
    <w:uiPriority w:val="9"/>
    <w:rsid w:val="008354B4"/>
    <w:rPr>
      <w:rFonts w:asciiTheme="majorHAnsi" w:eastAsiaTheme="majorEastAsia" w:hAnsiTheme="majorHAnsi" w:cstheme="majorBidi"/>
      <w:color w:val="2F5496" w:themeColor="accent1" w:themeShade="BF"/>
      <w:sz w:val="32"/>
      <w:szCs w:val="32"/>
      <w:lang w:eastAsia="en-GB"/>
    </w:rPr>
  </w:style>
  <w:style w:type="paragraph" w:styleId="Revision">
    <w:name w:val="Revision"/>
    <w:hidden/>
    <w:uiPriority w:val="99"/>
    <w:semiHidden/>
    <w:rsid w:val="003836DC"/>
    <w:pPr>
      <w:spacing w:after="0" w:line="240" w:lineRule="auto"/>
    </w:pPr>
    <w:rPr>
      <w:rFonts w:ascii="Arial" w:hAnsi="Arial" w:cs="Arial"/>
      <w:sz w:val="24"/>
      <w:szCs w:val="24"/>
      <w:lang w:eastAsia="en-GB"/>
    </w:rPr>
  </w:style>
  <w:style w:type="character" w:styleId="CommentReference">
    <w:name w:val="annotation reference"/>
    <w:basedOn w:val="DefaultParagraphFont"/>
    <w:uiPriority w:val="99"/>
    <w:semiHidden/>
    <w:unhideWhenUsed/>
    <w:rsid w:val="007427A2"/>
    <w:rPr>
      <w:sz w:val="16"/>
      <w:szCs w:val="16"/>
    </w:rPr>
  </w:style>
  <w:style w:type="paragraph" w:styleId="CommentText">
    <w:name w:val="annotation text"/>
    <w:basedOn w:val="Normal"/>
    <w:link w:val="CommentTextChar"/>
    <w:uiPriority w:val="99"/>
    <w:unhideWhenUsed/>
    <w:rsid w:val="007427A2"/>
    <w:rPr>
      <w:sz w:val="20"/>
      <w:szCs w:val="20"/>
    </w:rPr>
  </w:style>
  <w:style w:type="character" w:customStyle="1" w:styleId="CommentTextChar">
    <w:name w:val="Comment Text Char"/>
    <w:basedOn w:val="DefaultParagraphFont"/>
    <w:link w:val="CommentText"/>
    <w:uiPriority w:val="99"/>
    <w:rsid w:val="007427A2"/>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427A2"/>
    <w:rPr>
      <w:b/>
      <w:bCs/>
    </w:rPr>
  </w:style>
  <w:style w:type="character" w:customStyle="1" w:styleId="CommentSubjectChar">
    <w:name w:val="Comment Subject Char"/>
    <w:basedOn w:val="CommentTextChar"/>
    <w:link w:val="CommentSubject"/>
    <w:uiPriority w:val="99"/>
    <w:semiHidden/>
    <w:rsid w:val="007427A2"/>
    <w:rPr>
      <w:rFonts w:ascii="Arial"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67f3a81-2b04-415f-bdc4-8c6fcd95b204">
      <UserInfo>
        <DisplayName>Nigel Wilcock</DisplayName>
        <AccountId>48</AccountId>
        <AccountType/>
      </UserInfo>
      <UserInfo>
        <DisplayName>Arnold, Caroline</DisplayName>
        <AccountId>12</AccountId>
        <AccountType/>
      </UserInfo>
    </SharedWithUsers>
    <TaxCatchAll xmlns="5655d435-b4cf-4dc3-bb48-9c5b684e75cb" xsi:nil="true"/>
    <lcf76f155ced4ddcb4097134ff3c332f xmlns="4b547647-1e72-49d0-a3e1-b01fbef555f8">
      <Terms xmlns="http://schemas.microsoft.com/office/infopath/2007/PartnerControls"/>
    </lcf76f155ced4ddcb4097134ff3c332f>
    <Notes xmlns="4b547647-1e72-49d0-a3e1-b01fbef555f8" xsi:nil="true"/>
    <CopyrightInformation xmlns="4b547647-1e72-49d0-a3e1-b01fbef555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20" ma:contentTypeDescription="Create a new document." ma:contentTypeScope="" ma:versionID="034dbf70f1555afab20cb5de905bd400">
  <xsd:schema xmlns:xsd="http://www.w3.org/2001/XMLSchema" xmlns:xs="http://www.w3.org/2001/XMLSchema" xmlns:p="http://schemas.microsoft.com/office/2006/metadata/properties" xmlns:ns2="4b547647-1e72-49d0-a3e1-b01fbef555f8" xmlns:ns3="367f3a81-2b04-415f-bdc4-8c6fcd95b204" xmlns:ns4="5655d435-b4cf-4dc3-bb48-9c5b684e75cb" targetNamespace="http://schemas.microsoft.com/office/2006/metadata/properties" ma:root="true" ma:fieldsID="d280080d6656f9080d7ac2a8278beb64" ns2:_="" ns3:_="" ns4:_="">
    <xsd:import namespace="4b547647-1e72-49d0-a3e1-b01fbef555f8"/>
    <xsd:import namespace="367f3a81-2b04-415f-bdc4-8c6fcd95b204"/>
    <xsd:import namespace="5655d435-b4cf-4dc3-bb48-9c5b684e7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Notes" minOccurs="0"/>
                <xsd:element ref="ns2:MediaServiceObjectDetectorVersions" minOccurs="0"/>
                <xsd:element ref="ns2:CopyrightInform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aec11d-c73a-4c0b-be9b-b3f45a7f0e21"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CopyrightInformation" ma:index="26" nillable="true" ma:displayName="Copyright Information " ma:format="Dropdown" ma:internalName="CopyrightInformation">
      <xsd:simpleType>
        <xsd:restriction base="dms:Text">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5d435-b4cf-4dc3-bb48-9c5b684e75c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37a9fd-7736-4776-bdf4-93588b66e4cd}" ma:internalName="TaxCatchAll" ma:showField="CatchAllData" ma:web="367f3a81-2b04-415f-bdc4-8c6fcd95b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0B0CA-1FD5-44AF-B9E0-CBAFE9116D07}">
  <ds:schemaRefs>
    <ds:schemaRef ds:uri="http://schemas.microsoft.com/sharepoint/v3/contenttype/forms"/>
  </ds:schemaRefs>
</ds:datastoreItem>
</file>

<file path=customXml/itemProps2.xml><?xml version="1.0" encoding="utf-8"?>
<ds:datastoreItem xmlns:ds="http://schemas.openxmlformats.org/officeDocument/2006/customXml" ds:itemID="{95EEE162-7CF7-4081-ABFA-FB9E7E028438}">
  <ds:schemaRefs>
    <ds:schemaRef ds:uri="http://schemas.openxmlformats.org/officeDocument/2006/bibliography"/>
  </ds:schemaRefs>
</ds:datastoreItem>
</file>

<file path=customXml/itemProps3.xml><?xml version="1.0" encoding="utf-8"?>
<ds:datastoreItem xmlns:ds="http://schemas.openxmlformats.org/officeDocument/2006/customXml" ds:itemID="{DC6A97D9-F143-4FA4-9FDD-D15B089264A3}">
  <ds:schemaRefs>
    <ds:schemaRef ds:uri="250cde96-4c05-44e9-9df9-179845a5135d"/>
    <ds:schemaRef ds:uri="http://schemas.microsoft.com/office/2006/documentManagement/types"/>
    <ds:schemaRef ds:uri="http://schemas.microsoft.com/office/infopath/2007/PartnerControls"/>
    <ds:schemaRef ds:uri="http://purl.org/dc/elements/1.1/"/>
    <ds:schemaRef ds:uri="http://schemas.microsoft.com/office/2006/metadata/properties"/>
    <ds:schemaRef ds:uri="6f07100f-c22e-4d9f-8b16-929f2022281f"/>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D9316A6-0EF7-4F23-A4C8-056CD8611E7B}"/>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Caroline</dc:creator>
  <cp:keywords/>
  <dc:description/>
  <cp:lastModifiedBy>Jonathan</cp:lastModifiedBy>
  <cp:revision>2</cp:revision>
  <dcterms:created xsi:type="dcterms:W3CDTF">2024-01-22T11:32:00Z</dcterms:created>
  <dcterms:modified xsi:type="dcterms:W3CDTF">2024-01-22T11:32:00Z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0x0101007B8C796F87F3514D8DFAD7EC1120E9F9</vt:lpwstr>
  </property>
</Properties>
</file>