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B68D" w14:textId="77777777" w:rsidR="00054C75" w:rsidRDefault="00451B2A" w:rsidP="007D7EF6">
      <w:pPr>
        <w:pStyle w:val="CaptionOther"/>
        <w:ind w:left="0"/>
        <w:rPr>
          <w:rFonts w:ascii="Poppins" w:hAnsi="Poppins" w:cs="Poppins"/>
          <w:sz w:val="21"/>
          <w:szCs w:val="21"/>
        </w:rPr>
      </w:pPr>
      <w:r>
        <w:rPr>
          <w:rFonts w:ascii="Poppins" w:hAnsi="Poppins" w:cs="Poppins"/>
          <w:sz w:val="21"/>
          <w:szCs w:val="21"/>
        </w:rPr>
        <w:t>Race Equality Hub</w:t>
      </w:r>
      <w:r w:rsidR="007D7EF6" w:rsidRPr="00D166B0">
        <w:rPr>
          <w:rFonts w:ascii="Poppins" w:hAnsi="Poppins" w:cs="Poppins"/>
          <w:sz w:val="21"/>
          <w:szCs w:val="21"/>
        </w:rPr>
        <w:t xml:space="preserve"> </w:t>
      </w:r>
      <w:r w:rsidR="00054C75">
        <w:rPr>
          <w:rFonts w:ascii="Poppins" w:hAnsi="Poppins" w:cs="Poppins"/>
          <w:sz w:val="21"/>
          <w:szCs w:val="21"/>
        </w:rPr>
        <w:t>Advisory Board</w:t>
      </w:r>
    </w:p>
    <w:p w14:paraId="605E256D" w14:textId="26160858" w:rsidR="007D7EF6" w:rsidRPr="00D166B0" w:rsidRDefault="007D7EF6" w:rsidP="007D7EF6">
      <w:pPr>
        <w:pStyle w:val="CaptionOther"/>
        <w:ind w:left="0"/>
        <w:rPr>
          <w:rFonts w:ascii="Poppins" w:hAnsi="Poppins" w:cs="Poppins"/>
          <w:sz w:val="21"/>
          <w:szCs w:val="21"/>
        </w:rPr>
      </w:pPr>
      <w:r w:rsidRPr="00D166B0">
        <w:rPr>
          <w:rFonts w:ascii="Poppins" w:hAnsi="Poppins" w:cs="Poppins"/>
          <w:sz w:val="21"/>
          <w:szCs w:val="21"/>
        </w:rPr>
        <w:t xml:space="preserve">Terms of Reference, </w:t>
      </w:r>
      <w:r w:rsidR="00451B2A">
        <w:rPr>
          <w:rFonts w:ascii="Poppins" w:hAnsi="Poppins" w:cs="Poppins"/>
          <w:sz w:val="21"/>
          <w:szCs w:val="21"/>
        </w:rPr>
        <w:t>September 2023</w:t>
      </w:r>
    </w:p>
    <w:p w14:paraId="16CEBD23" w14:textId="77777777" w:rsidR="007D7EF6" w:rsidRPr="00D166B0" w:rsidRDefault="007D7EF6" w:rsidP="007D7EF6">
      <w:pPr>
        <w:rPr>
          <w:rFonts w:ascii="Poppins" w:hAnsi="Poppins" w:cs="Poppins"/>
          <w:b/>
          <w:bCs/>
          <w:color w:val="A50021"/>
          <w:sz w:val="21"/>
          <w:szCs w:val="21"/>
        </w:rPr>
      </w:pPr>
    </w:p>
    <w:tbl>
      <w:tblPr>
        <w:tblStyle w:val="TableGrid"/>
        <w:tblW w:w="9356" w:type="dxa"/>
        <w:tblInd w:w="-15" w:type="dxa"/>
        <w:tblLayout w:type="fixed"/>
        <w:tblLook w:val="04A0" w:firstRow="1" w:lastRow="0" w:firstColumn="1" w:lastColumn="0" w:noHBand="0" w:noVBand="1"/>
      </w:tblPr>
      <w:tblGrid>
        <w:gridCol w:w="2410"/>
        <w:gridCol w:w="6946"/>
      </w:tblGrid>
      <w:tr w:rsidR="00131647" w:rsidRPr="00D166B0" w14:paraId="06972E58" w14:textId="77777777" w:rsidTr="00AE64A3">
        <w:tc>
          <w:tcPr>
            <w:tcW w:w="2410" w:type="dxa"/>
            <w:tcBorders>
              <w:top w:val="double" w:sz="4" w:space="0" w:color="auto"/>
              <w:left w:val="double" w:sz="4" w:space="0" w:color="auto"/>
            </w:tcBorders>
            <w:shd w:val="clear" w:color="auto" w:fill="F2F2F2" w:themeFill="background1" w:themeFillShade="F2"/>
          </w:tcPr>
          <w:p w14:paraId="296BA0F0" w14:textId="783EEDB6" w:rsidR="00131647" w:rsidRPr="00D166B0" w:rsidRDefault="00FB5BA6" w:rsidP="00131647">
            <w:pPr>
              <w:pStyle w:val="ListParagraph"/>
              <w:numPr>
                <w:ilvl w:val="0"/>
                <w:numId w:val="1"/>
              </w:numPr>
              <w:spacing w:before="120" w:after="120" w:line="240" w:lineRule="auto"/>
              <w:ind w:left="306" w:hanging="306"/>
              <w:contextualSpacing w:val="0"/>
              <w:rPr>
                <w:rFonts w:ascii="Poppins" w:hAnsi="Poppins" w:cs="Poppins"/>
                <w:b/>
                <w:sz w:val="21"/>
                <w:szCs w:val="21"/>
              </w:rPr>
            </w:pPr>
            <w:r>
              <w:rPr>
                <w:rFonts w:ascii="Poppins" w:hAnsi="Poppins" w:cs="Poppins"/>
                <w:b/>
                <w:sz w:val="21"/>
                <w:szCs w:val="21"/>
              </w:rPr>
              <w:t>Background</w:t>
            </w:r>
          </w:p>
        </w:tc>
        <w:tc>
          <w:tcPr>
            <w:tcW w:w="6946" w:type="dxa"/>
            <w:tcBorders>
              <w:top w:val="double" w:sz="4" w:space="0" w:color="auto"/>
              <w:right w:val="double" w:sz="4" w:space="0" w:color="auto"/>
            </w:tcBorders>
          </w:tcPr>
          <w:p w14:paraId="70BB65D7" w14:textId="052F0EAC" w:rsidR="00FB5BA6" w:rsidRPr="00FB5BA6" w:rsidRDefault="00FB5BA6" w:rsidP="00FB5BA6">
            <w:pPr>
              <w:pStyle w:val="NormalWeb"/>
              <w:spacing w:before="120" w:after="120"/>
              <w:jc w:val="both"/>
              <w:rPr>
                <w:rFonts w:ascii="Poppins" w:hAnsi="Poppins" w:cs="Poppins"/>
                <w:sz w:val="21"/>
                <w:szCs w:val="21"/>
              </w:rPr>
            </w:pPr>
            <w:r w:rsidRPr="00FB5BA6">
              <w:rPr>
                <w:rFonts w:ascii="Poppins" w:hAnsi="Poppins" w:cs="Poppins"/>
                <w:sz w:val="21"/>
                <w:szCs w:val="21"/>
              </w:rPr>
              <w:t xml:space="preserve">Liverpool City Region Combined Authority (LCRCA) has a vision for </w:t>
            </w:r>
            <w:r w:rsidR="00365A73">
              <w:rPr>
                <w:rFonts w:ascii="Poppins" w:hAnsi="Poppins" w:cs="Poppins"/>
                <w:sz w:val="21"/>
                <w:szCs w:val="21"/>
              </w:rPr>
              <w:t xml:space="preserve">a </w:t>
            </w:r>
            <w:r w:rsidRPr="00FB5BA6">
              <w:rPr>
                <w:rFonts w:ascii="Poppins" w:hAnsi="Poppins" w:cs="Poppins"/>
                <w:sz w:val="21"/>
                <w:szCs w:val="21"/>
              </w:rPr>
              <w:t xml:space="preserve">fairer, stronger, cleaner city region where no one is left behind. </w:t>
            </w:r>
            <w:r w:rsidR="00365A73">
              <w:rPr>
                <w:rFonts w:ascii="Poppins" w:hAnsi="Poppins" w:cs="Poppins"/>
                <w:sz w:val="21"/>
                <w:szCs w:val="21"/>
              </w:rPr>
              <w:t xml:space="preserve"> </w:t>
            </w:r>
            <w:r w:rsidRPr="00FB5BA6">
              <w:rPr>
                <w:rFonts w:ascii="Poppins" w:hAnsi="Poppins" w:cs="Poppins"/>
                <w:sz w:val="21"/>
                <w:szCs w:val="21"/>
              </w:rPr>
              <w:t xml:space="preserve">To achieve this vision, it seeks to eliminate discrimination and promote equality in its policies, service delivery and funding decisions. </w:t>
            </w:r>
          </w:p>
          <w:p w14:paraId="0596D5DD" w14:textId="7FBD7EB8" w:rsidR="000D39A2" w:rsidRPr="00FB5BA6" w:rsidRDefault="00FB5BA6" w:rsidP="000D39A2">
            <w:pPr>
              <w:pStyle w:val="NormalWeb"/>
              <w:spacing w:before="120" w:beforeAutospacing="0" w:after="120" w:afterAutospacing="0"/>
              <w:jc w:val="both"/>
              <w:rPr>
                <w:rFonts w:ascii="Poppins" w:hAnsi="Poppins" w:cs="Poppins"/>
                <w:sz w:val="21"/>
                <w:szCs w:val="21"/>
              </w:rPr>
            </w:pPr>
            <w:r w:rsidRPr="00FB5BA6">
              <w:rPr>
                <w:rFonts w:ascii="Poppins" w:hAnsi="Poppins" w:cs="Poppins"/>
                <w:sz w:val="21"/>
                <w:szCs w:val="21"/>
              </w:rPr>
              <w:t xml:space="preserve">The Race Equality Hub </w:t>
            </w:r>
            <w:r w:rsidR="000D39A2">
              <w:rPr>
                <w:rFonts w:ascii="Poppins" w:hAnsi="Poppins" w:cs="Poppins"/>
                <w:sz w:val="21"/>
                <w:szCs w:val="21"/>
              </w:rPr>
              <w:t xml:space="preserve">(Hub) </w:t>
            </w:r>
            <w:r w:rsidRPr="00FB5BA6">
              <w:rPr>
                <w:rFonts w:ascii="Poppins" w:hAnsi="Poppins" w:cs="Poppins"/>
                <w:sz w:val="21"/>
                <w:szCs w:val="21"/>
              </w:rPr>
              <w:t xml:space="preserve">has been established to </w:t>
            </w:r>
            <w:r w:rsidR="008E6665">
              <w:rPr>
                <w:rFonts w:ascii="Poppins" w:hAnsi="Poppins" w:cs="Poppins"/>
                <w:sz w:val="21"/>
                <w:szCs w:val="21"/>
              </w:rPr>
              <w:t xml:space="preserve">secure the economic advancement of Black, </w:t>
            </w:r>
            <w:proofErr w:type="gramStart"/>
            <w:r w:rsidR="008E6665">
              <w:rPr>
                <w:rFonts w:ascii="Poppins" w:hAnsi="Poppins" w:cs="Poppins"/>
                <w:sz w:val="21"/>
                <w:szCs w:val="21"/>
              </w:rPr>
              <w:t>Asian</w:t>
            </w:r>
            <w:proofErr w:type="gramEnd"/>
            <w:r w:rsidR="008E6665">
              <w:rPr>
                <w:rFonts w:ascii="Poppins" w:hAnsi="Poppins" w:cs="Poppins"/>
                <w:sz w:val="21"/>
                <w:szCs w:val="21"/>
              </w:rPr>
              <w:t xml:space="preserve"> and Minority Ethnic communities by </w:t>
            </w:r>
            <w:r w:rsidRPr="00FB5BA6">
              <w:rPr>
                <w:rFonts w:ascii="Poppins" w:hAnsi="Poppins" w:cs="Poppins"/>
                <w:sz w:val="21"/>
                <w:szCs w:val="21"/>
              </w:rPr>
              <w:t>tackl</w:t>
            </w:r>
            <w:r w:rsidR="008E6665">
              <w:rPr>
                <w:rFonts w:ascii="Poppins" w:hAnsi="Poppins" w:cs="Poppins"/>
                <w:sz w:val="21"/>
                <w:szCs w:val="21"/>
              </w:rPr>
              <w:t>ing</w:t>
            </w:r>
            <w:r w:rsidRPr="00FB5BA6">
              <w:rPr>
                <w:rFonts w:ascii="Poppins" w:hAnsi="Poppins" w:cs="Poppins"/>
                <w:sz w:val="21"/>
                <w:szCs w:val="21"/>
              </w:rPr>
              <w:t xml:space="preserve"> inequality in employment and skills and business support in public, private and third sector </w:t>
            </w:r>
            <w:proofErr w:type="spellStart"/>
            <w:r w:rsidRPr="00FB5BA6">
              <w:rPr>
                <w:rFonts w:ascii="Poppins" w:hAnsi="Poppins" w:cs="Poppins"/>
                <w:sz w:val="21"/>
                <w:szCs w:val="21"/>
              </w:rPr>
              <w:t>organisations</w:t>
            </w:r>
            <w:proofErr w:type="spellEnd"/>
            <w:r w:rsidRPr="00FB5BA6">
              <w:rPr>
                <w:rFonts w:ascii="Poppins" w:hAnsi="Poppins" w:cs="Poppins"/>
                <w:sz w:val="21"/>
                <w:szCs w:val="21"/>
              </w:rPr>
              <w:t xml:space="preserve"> across </w:t>
            </w:r>
            <w:r>
              <w:rPr>
                <w:rFonts w:ascii="Poppins" w:hAnsi="Poppins" w:cs="Poppins"/>
                <w:sz w:val="21"/>
                <w:szCs w:val="21"/>
              </w:rPr>
              <w:t xml:space="preserve">the </w:t>
            </w:r>
            <w:r w:rsidRPr="00FB5BA6">
              <w:rPr>
                <w:rFonts w:ascii="Poppins" w:hAnsi="Poppins" w:cs="Poppins"/>
                <w:sz w:val="21"/>
                <w:szCs w:val="21"/>
              </w:rPr>
              <w:t>Liverpool City Region.</w:t>
            </w:r>
            <w:r w:rsidR="000D39A2">
              <w:rPr>
                <w:rFonts w:ascii="Poppins" w:hAnsi="Poppins" w:cs="Poppins"/>
                <w:sz w:val="21"/>
                <w:szCs w:val="21"/>
              </w:rPr>
              <w:t xml:space="preserve">  The Hub will be supported by a team of volunteer advisors (Advisory Board) who will assist the Hub </w:t>
            </w:r>
            <w:r w:rsidR="00365A73">
              <w:rPr>
                <w:rFonts w:ascii="Poppins" w:hAnsi="Poppins" w:cs="Poppins"/>
                <w:sz w:val="21"/>
                <w:szCs w:val="21"/>
              </w:rPr>
              <w:t xml:space="preserve">in the pursuit of </w:t>
            </w:r>
            <w:r w:rsidR="000D39A2">
              <w:rPr>
                <w:rFonts w:ascii="Poppins" w:hAnsi="Poppins" w:cs="Poppins"/>
                <w:sz w:val="21"/>
                <w:szCs w:val="21"/>
              </w:rPr>
              <w:t>its objectives.</w:t>
            </w:r>
          </w:p>
        </w:tc>
      </w:tr>
      <w:tr w:rsidR="00131647" w:rsidRPr="00D166B0" w14:paraId="77BAAD8A" w14:textId="77777777" w:rsidTr="00AE64A3">
        <w:tc>
          <w:tcPr>
            <w:tcW w:w="2410" w:type="dxa"/>
            <w:tcBorders>
              <w:left w:val="double" w:sz="4" w:space="0" w:color="auto"/>
              <w:bottom w:val="double" w:sz="4" w:space="0" w:color="auto"/>
            </w:tcBorders>
            <w:shd w:val="clear" w:color="auto" w:fill="F2F2F2" w:themeFill="background1" w:themeFillShade="F2"/>
          </w:tcPr>
          <w:p w14:paraId="5C24C8CD" w14:textId="77777777" w:rsidR="00131647" w:rsidRPr="00D166B0" w:rsidRDefault="00131647" w:rsidP="00131647">
            <w:pPr>
              <w:pStyle w:val="ListParagraph"/>
              <w:numPr>
                <w:ilvl w:val="0"/>
                <w:numId w:val="1"/>
              </w:numPr>
              <w:spacing w:before="120" w:after="120" w:line="240" w:lineRule="auto"/>
              <w:ind w:left="306" w:hanging="284"/>
              <w:contextualSpacing w:val="0"/>
              <w:rPr>
                <w:rFonts w:ascii="Poppins" w:hAnsi="Poppins" w:cs="Poppins"/>
                <w:b/>
                <w:sz w:val="21"/>
                <w:szCs w:val="21"/>
              </w:rPr>
            </w:pPr>
            <w:r w:rsidRPr="00D166B0">
              <w:rPr>
                <w:rFonts w:ascii="Poppins" w:hAnsi="Poppins" w:cs="Poppins"/>
                <w:b/>
                <w:sz w:val="21"/>
                <w:szCs w:val="21"/>
              </w:rPr>
              <w:t>Functions and responsibilities</w:t>
            </w:r>
          </w:p>
        </w:tc>
        <w:tc>
          <w:tcPr>
            <w:tcW w:w="6946" w:type="dxa"/>
            <w:tcBorders>
              <w:bottom w:val="double" w:sz="4" w:space="0" w:color="auto"/>
              <w:right w:val="double" w:sz="4" w:space="0" w:color="auto"/>
            </w:tcBorders>
          </w:tcPr>
          <w:p w14:paraId="2E73BB27" w14:textId="1FCB7038" w:rsidR="00827E66" w:rsidRDefault="00131647" w:rsidP="00FB5BA6">
            <w:pPr>
              <w:pStyle w:val="NormalWeb"/>
              <w:spacing w:before="120" w:after="120"/>
              <w:jc w:val="both"/>
              <w:rPr>
                <w:rFonts w:ascii="Poppins" w:hAnsi="Poppins" w:cs="Poppins"/>
                <w:sz w:val="21"/>
                <w:szCs w:val="21"/>
              </w:rPr>
            </w:pPr>
            <w:r w:rsidRPr="00D166B0">
              <w:rPr>
                <w:rFonts w:ascii="Poppins" w:hAnsi="Poppins" w:cs="Poppins"/>
                <w:sz w:val="21"/>
                <w:szCs w:val="21"/>
              </w:rPr>
              <w:t>The</w:t>
            </w:r>
            <w:r w:rsidR="00827E66">
              <w:rPr>
                <w:rFonts w:ascii="Poppins" w:hAnsi="Poppins" w:cs="Poppins"/>
                <w:sz w:val="21"/>
                <w:szCs w:val="21"/>
              </w:rPr>
              <w:t xml:space="preserve"> role of the role of the Advisory Board is to a</w:t>
            </w:r>
            <w:r w:rsidR="00827E66" w:rsidRPr="00827E66">
              <w:rPr>
                <w:rFonts w:ascii="Poppins" w:hAnsi="Poppins" w:cs="Poppins"/>
                <w:sz w:val="21"/>
                <w:szCs w:val="21"/>
              </w:rPr>
              <w:t xml:space="preserve">ct as a ‘critical friend’ to </w:t>
            </w:r>
            <w:r w:rsidR="00827E66">
              <w:rPr>
                <w:rFonts w:ascii="Poppins" w:hAnsi="Poppins" w:cs="Poppins"/>
                <w:sz w:val="21"/>
                <w:szCs w:val="21"/>
              </w:rPr>
              <w:t>the Hub.</w:t>
            </w:r>
          </w:p>
          <w:p w14:paraId="7516E2AD" w14:textId="63BACC73" w:rsidR="002D6000" w:rsidRDefault="00827E66" w:rsidP="00FB5BA6">
            <w:pPr>
              <w:pStyle w:val="NormalWeb"/>
              <w:spacing w:before="120" w:after="120"/>
              <w:jc w:val="both"/>
              <w:rPr>
                <w:rFonts w:ascii="Poppins" w:hAnsi="Poppins" w:cs="Poppins"/>
                <w:sz w:val="21"/>
                <w:szCs w:val="21"/>
              </w:rPr>
            </w:pPr>
            <w:r>
              <w:rPr>
                <w:rFonts w:ascii="Poppins" w:hAnsi="Poppins" w:cs="Poppins"/>
                <w:sz w:val="21"/>
                <w:szCs w:val="21"/>
              </w:rPr>
              <w:t xml:space="preserve">It is anticipated that </w:t>
            </w:r>
            <w:r w:rsidR="000D39A2">
              <w:rPr>
                <w:rFonts w:ascii="Poppins" w:hAnsi="Poppins" w:cs="Poppins"/>
                <w:sz w:val="21"/>
                <w:szCs w:val="21"/>
              </w:rPr>
              <w:t>members of the Advisory B</w:t>
            </w:r>
            <w:r w:rsidR="002D6000">
              <w:rPr>
                <w:rFonts w:ascii="Poppins" w:hAnsi="Poppins" w:cs="Poppins"/>
                <w:sz w:val="21"/>
                <w:szCs w:val="21"/>
              </w:rPr>
              <w:t>oard will:</w:t>
            </w:r>
          </w:p>
          <w:p w14:paraId="352AC8B1" w14:textId="7FE0AA38" w:rsidR="002D6000" w:rsidRDefault="00FB5BA6" w:rsidP="002D6000">
            <w:pPr>
              <w:pStyle w:val="ListParagraph"/>
              <w:numPr>
                <w:ilvl w:val="0"/>
                <w:numId w:val="12"/>
              </w:numPr>
              <w:spacing w:before="120" w:after="120"/>
              <w:jc w:val="both"/>
              <w:rPr>
                <w:rFonts w:ascii="Poppins" w:hAnsi="Poppins" w:cs="Poppins"/>
                <w:sz w:val="21"/>
                <w:szCs w:val="21"/>
              </w:rPr>
            </w:pPr>
            <w:r>
              <w:rPr>
                <w:rFonts w:ascii="Poppins" w:hAnsi="Poppins" w:cs="Poppins"/>
                <w:sz w:val="21"/>
                <w:szCs w:val="21"/>
              </w:rPr>
              <w:t>a</w:t>
            </w:r>
            <w:r w:rsidR="002D6000" w:rsidRPr="002D6000">
              <w:rPr>
                <w:rFonts w:ascii="Poppins" w:hAnsi="Poppins" w:cs="Poppins"/>
                <w:sz w:val="21"/>
                <w:szCs w:val="21"/>
              </w:rPr>
              <w:t xml:space="preserve">ssist the Race Equality Hub in developing effective solutions that tackle inequality and promote equity </w:t>
            </w:r>
            <w:proofErr w:type="gramStart"/>
            <w:r w:rsidR="002D6000" w:rsidRPr="002D6000">
              <w:rPr>
                <w:rFonts w:ascii="Poppins" w:hAnsi="Poppins" w:cs="Poppins"/>
                <w:sz w:val="21"/>
                <w:szCs w:val="21"/>
              </w:rPr>
              <w:t>in the area of</w:t>
            </w:r>
            <w:proofErr w:type="gramEnd"/>
            <w:r w:rsidR="002D6000" w:rsidRPr="002D6000">
              <w:rPr>
                <w:rFonts w:ascii="Poppins" w:hAnsi="Poppins" w:cs="Poppins"/>
                <w:sz w:val="21"/>
                <w:szCs w:val="21"/>
              </w:rPr>
              <w:t xml:space="preserve"> employment and skills and business support</w:t>
            </w:r>
            <w:r>
              <w:rPr>
                <w:rFonts w:ascii="Poppins" w:hAnsi="Poppins" w:cs="Poppins"/>
                <w:sz w:val="21"/>
                <w:szCs w:val="21"/>
              </w:rPr>
              <w:t>; and</w:t>
            </w:r>
          </w:p>
          <w:p w14:paraId="789E1E0E" w14:textId="77777777" w:rsidR="00FB5BA6" w:rsidRPr="002D6000" w:rsidRDefault="00FB5BA6" w:rsidP="00FB5BA6">
            <w:pPr>
              <w:pStyle w:val="ListParagraph"/>
              <w:spacing w:before="120" w:after="120"/>
              <w:jc w:val="both"/>
              <w:rPr>
                <w:rFonts w:ascii="Poppins" w:hAnsi="Poppins" w:cs="Poppins"/>
                <w:sz w:val="21"/>
                <w:szCs w:val="21"/>
              </w:rPr>
            </w:pPr>
          </w:p>
          <w:p w14:paraId="33A0CC87" w14:textId="77777777" w:rsidR="002944B2" w:rsidRPr="004C245F" w:rsidRDefault="00FB5BA6" w:rsidP="005C0CDC">
            <w:pPr>
              <w:pStyle w:val="ListParagraph"/>
              <w:numPr>
                <w:ilvl w:val="0"/>
                <w:numId w:val="12"/>
              </w:numPr>
              <w:spacing w:before="120" w:after="120"/>
              <w:jc w:val="both"/>
              <w:rPr>
                <w:rFonts w:ascii="Poppins" w:hAnsi="Poppins" w:cs="Poppins"/>
                <w:bCs/>
                <w:sz w:val="21"/>
                <w:szCs w:val="21"/>
              </w:rPr>
            </w:pPr>
            <w:r>
              <w:rPr>
                <w:rFonts w:ascii="Poppins" w:hAnsi="Poppins" w:cs="Poppins"/>
                <w:sz w:val="21"/>
                <w:szCs w:val="21"/>
              </w:rPr>
              <w:t>p</w:t>
            </w:r>
            <w:r w:rsidR="002D6000" w:rsidRPr="005C0CDC">
              <w:rPr>
                <w:rFonts w:ascii="Poppins" w:hAnsi="Poppins" w:cs="Poppins"/>
                <w:sz w:val="21"/>
                <w:szCs w:val="21"/>
              </w:rPr>
              <w:t>rovide an external perspective to support Hub decision making by sharing appropriate insight and lived experience.</w:t>
            </w:r>
          </w:p>
          <w:p w14:paraId="3AD329D7" w14:textId="77777777" w:rsidR="004C245F" w:rsidRPr="004C245F" w:rsidRDefault="004C245F" w:rsidP="004C245F">
            <w:pPr>
              <w:pStyle w:val="ListParagraph"/>
              <w:rPr>
                <w:rFonts w:ascii="Poppins" w:hAnsi="Poppins" w:cs="Poppins"/>
                <w:bCs/>
                <w:sz w:val="21"/>
                <w:szCs w:val="21"/>
              </w:rPr>
            </w:pPr>
          </w:p>
          <w:p w14:paraId="4B863C0D" w14:textId="0840F6DB" w:rsidR="004C245F" w:rsidRPr="0022038D" w:rsidRDefault="004C245F" w:rsidP="005C0CDC">
            <w:pPr>
              <w:pStyle w:val="ListParagraph"/>
              <w:numPr>
                <w:ilvl w:val="0"/>
                <w:numId w:val="12"/>
              </w:numPr>
              <w:spacing w:before="120" w:after="120"/>
              <w:jc w:val="both"/>
              <w:rPr>
                <w:rFonts w:ascii="Poppins" w:hAnsi="Poppins" w:cs="Poppins"/>
                <w:bCs/>
                <w:sz w:val="21"/>
                <w:szCs w:val="21"/>
              </w:rPr>
            </w:pPr>
            <w:r>
              <w:rPr>
                <w:rFonts w:ascii="Poppins" w:hAnsi="Poppins" w:cs="Poppins"/>
                <w:bCs/>
                <w:sz w:val="21"/>
                <w:szCs w:val="21"/>
              </w:rPr>
              <w:t>review terms of reference periodically and in line with LCRCA legal governance arrangements</w:t>
            </w:r>
          </w:p>
        </w:tc>
      </w:tr>
      <w:tr w:rsidR="00131647" w:rsidRPr="00D166B0" w14:paraId="680E8885" w14:textId="77777777" w:rsidTr="00AE64A3">
        <w:tc>
          <w:tcPr>
            <w:tcW w:w="2410" w:type="dxa"/>
            <w:tcBorders>
              <w:top w:val="double" w:sz="4" w:space="0" w:color="auto"/>
              <w:left w:val="double" w:sz="4" w:space="0" w:color="auto"/>
            </w:tcBorders>
            <w:shd w:val="clear" w:color="auto" w:fill="F2F2F2" w:themeFill="background1" w:themeFillShade="F2"/>
          </w:tcPr>
          <w:p w14:paraId="4FA079C6" w14:textId="77777777" w:rsidR="00131647" w:rsidRPr="00D166B0" w:rsidRDefault="00131647" w:rsidP="00131647">
            <w:pPr>
              <w:pStyle w:val="ListParagraph"/>
              <w:numPr>
                <w:ilvl w:val="0"/>
                <w:numId w:val="1"/>
              </w:numPr>
              <w:spacing w:before="120" w:after="120" w:line="240" w:lineRule="auto"/>
              <w:ind w:left="306" w:hanging="284"/>
              <w:rPr>
                <w:rFonts w:ascii="Poppins" w:hAnsi="Poppins" w:cs="Poppins"/>
                <w:b/>
                <w:sz w:val="21"/>
                <w:szCs w:val="21"/>
              </w:rPr>
            </w:pPr>
            <w:r w:rsidRPr="00D166B0">
              <w:rPr>
                <w:rFonts w:ascii="Poppins" w:hAnsi="Poppins" w:cs="Poppins"/>
                <w:b/>
                <w:sz w:val="21"/>
                <w:szCs w:val="21"/>
              </w:rPr>
              <w:t>Membership</w:t>
            </w:r>
          </w:p>
        </w:tc>
        <w:tc>
          <w:tcPr>
            <w:tcW w:w="6946" w:type="dxa"/>
            <w:tcBorders>
              <w:top w:val="double" w:sz="4" w:space="0" w:color="auto"/>
              <w:right w:val="double" w:sz="4" w:space="0" w:color="auto"/>
            </w:tcBorders>
          </w:tcPr>
          <w:p w14:paraId="0E302EEF" w14:textId="37E6BF1B" w:rsidR="00131647" w:rsidRPr="004C245F" w:rsidRDefault="00131647" w:rsidP="004C245F">
            <w:pPr>
              <w:spacing w:before="120" w:after="120"/>
              <w:rPr>
                <w:rFonts w:ascii="Poppins" w:hAnsi="Poppins" w:cs="Poppins"/>
                <w:sz w:val="21"/>
                <w:szCs w:val="21"/>
              </w:rPr>
            </w:pPr>
            <w:r w:rsidRPr="00D166B0">
              <w:rPr>
                <w:rFonts w:ascii="Poppins" w:hAnsi="Poppins" w:cs="Poppins"/>
                <w:sz w:val="21"/>
                <w:szCs w:val="21"/>
              </w:rPr>
              <w:t xml:space="preserve">The </w:t>
            </w:r>
            <w:r w:rsidR="00300767">
              <w:rPr>
                <w:rFonts w:ascii="Poppins" w:hAnsi="Poppins" w:cs="Poppins"/>
                <w:sz w:val="21"/>
                <w:szCs w:val="21"/>
              </w:rPr>
              <w:t xml:space="preserve">Advisory Board </w:t>
            </w:r>
            <w:r w:rsidRPr="00D166B0">
              <w:rPr>
                <w:rFonts w:ascii="Poppins" w:hAnsi="Poppins" w:cs="Poppins"/>
                <w:sz w:val="21"/>
                <w:szCs w:val="21"/>
              </w:rPr>
              <w:t xml:space="preserve">will consist of up to </w:t>
            </w:r>
            <w:r w:rsidR="004C245F">
              <w:rPr>
                <w:rFonts w:ascii="Poppins" w:hAnsi="Poppins" w:cs="Poppins"/>
                <w:sz w:val="21"/>
                <w:szCs w:val="21"/>
              </w:rPr>
              <w:t xml:space="preserve">fifteen </w:t>
            </w:r>
            <w:r w:rsidRPr="00D166B0">
              <w:rPr>
                <w:rFonts w:ascii="Poppins" w:hAnsi="Poppins" w:cs="Poppins"/>
                <w:sz w:val="21"/>
                <w:szCs w:val="21"/>
              </w:rPr>
              <w:t xml:space="preserve">permanent members that will meet </w:t>
            </w:r>
            <w:proofErr w:type="gramStart"/>
            <w:r w:rsidRPr="00D166B0">
              <w:rPr>
                <w:rFonts w:ascii="Poppins" w:hAnsi="Poppins" w:cs="Poppins"/>
                <w:sz w:val="21"/>
                <w:szCs w:val="21"/>
              </w:rPr>
              <w:t>quarterly</w:t>
            </w:r>
            <w:proofErr w:type="gramEnd"/>
            <w:r w:rsidRPr="00D166B0">
              <w:rPr>
                <w:rFonts w:ascii="Poppins" w:hAnsi="Poppins" w:cs="Poppins"/>
                <w:sz w:val="21"/>
                <w:szCs w:val="21"/>
              </w:rPr>
              <w:t xml:space="preserve"> or such other periodicity as discussed with the </w:t>
            </w:r>
            <w:r w:rsidR="000D39A2">
              <w:rPr>
                <w:rFonts w:ascii="Poppins" w:hAnsi="Poppins" w:cs="Poppins"/>
                <w:sz w:val="21"/>
                <w:szCs w:val="21"/>
              </w:rPr>
              <w:t>Advisory Board</w:t>
            </w:r>
            <w:r w:rsidRPr="00D166B0">
              <w:rPr>
                <w:rFonts w:ascii="Poppins" w:hAnsi="Poppins" w:cs="Poppins"/>
                <w:sz w:val="21"/>
                <w:szCs w:val="21"/>
              </w:rPr>
              <w:t xml:space="preserve">: </w:t>
            </w:r>
          </w:p>
          <w:p w14:paraId="69852F5C" w14:textId="7A53E2ED" w:rsidR="00131647" w:rsidRPr="00D166B0" w:rsidRDefault="000D39A2" w:rsidP="00131647">
            <w:pPr>
              <w:pStyle w:val="ListParagraph"/>
              <w:numPr>
                <w:ilvl w:val="1"/>
                <w:numId w:val="5"/>
              </w:numPr>
              <w:spacing w:before="120" w:after="120" w:line="240" w:lineRule="auto"/>
              <w:ind w:left="822" w:hanging="425"/>
              <w:contextualSpacing w:val="0"/>
              <w:rPr>
                <w:rFonts w:ascii="Poppins" w:hAnsi="Poppins" w:cs="Poppins"/>
                <w:color w:val="000000"/>
                <w:sz w:val="21"/>
                <w:szCs w:val="21"/>
              </w:rPr>
            </w:pPr>
            <w:r>
              <w:rPr>
                <w:rFonts w:ascii="Poppins" w:hAnsi="Poppins" w:cs="Poppins"/>
                <w:color w:val="000000"/>
                <w:sz w:val="21"/>
                <w:szCs w:val="21"/>
              </w:rPr>
              <w:t>t</w:t>
            </w:r>
            <w:r w:rsidR="00347229">
              <w:rPr>
                <w:rFonts w:ascii="Poppins" w:hAnsi="Poppins" w:cs="Poppins"/>
                <w:color w:val="000000"/>
                <w:sz w:val="21"/>
                <w:szCs w:val="21"/>
              </w:rPr>
              <w:t>hree</w:t>
            </w:r>
            <w:r w:rsidR="005C0CDC">
              <w:rPr>
                <w:rFonts w:ascii="Poppins" w:hAnsi="Poppins" w:cs="Poppins"/>
                <w:color w:val="000000"/>
                <w:sz w:val="21"/>
                <w:szCs w:val="21"/>
              </w:rPr>
              <w:t xml:space="preserve"> </w:t>
            </w:r>
            <w:r>
              <w:rPr>
                <w:rFonts w:ascii="Poppins" w:hAnsi="Poppins" w:cs="Poppins"/>
                <w:color w:val="000000"/>
                <w:sz w:val="21"/>
                <w:szCs w:val="21"/>
              </w:rPr>
              <w:t>b</w:t>
            </w:r>
            <w:r w:rsidR="005C0CDC">
              <w:rPr>
                <w:rFonts w:ascii="Poppins" w:hAnsi="Poppins" w:cs="Poppins"/>
                <w:color w:val="000000"/>
                <w:sz w:val="21"/>
                <w:szCs w:val="21"/>
              </w:rPr>
              <w:t xml:space="preserve">usiness </w:t>
            </w:r>
            <w:r>
              <w:rPr>
                <w:rFonts w:ascii="Poppins" w:hAnsi="Poppins" w:cs="Poppins"/>
                <w:color w:val="000000"/>
                <w:sz w:val="21"/>
                <w:szCs w:val="21"/>
              </w:rPr>
              <w:t>m</w:t>
            </w:r>
            <w:r w:rsidR="005C0CDC">
              <w:rPr>
                <w:rFonts w:ascii="Poppins" w:hAnsi="Poppins" w:cs="Poppins"/>
                <w:color w:val="000000"/>
                <w:sz w:val="21"/>
                <w:szCs w:val="21"/>
              </w:rPr>
              <w:t>embers</w:t>
            </w:r>
          </w:p>
          <w:p w14:paraId="3576C087" w14:textId="46292095" w:rsidR="00131647" w:rsidRPr="00D166B0" w:rsidRDefault="00347229" w:rsidP="00131647">
            <w:pPr>
              <w:pStyle w:val="ListParagraph"/>
              <w:numPr>
                <w:ilvl w:val="1"/>
                <w:numId w:val="5"/>
              </w:numPr>
              <w:spacing w:before="120" w:after="120" w:line="240" w:lineRule="auto"/>
              <w:ind w:left="822" w:hanging="425"/>
              <w:contextualSpacing w:val="0"/>
              <w:rPr>
                <w:rFonts w:ascii="Poppins" w:hAnsi="Poppins" w:cs="Poppins"/>
                <w:color w:val="000000"/>
                <w:sz w:val="21"/>
                <w:szCs w:val="21"/>
              </w:rPr>
            </w:pPr>
            <w:r>
              <w:rPr>
                <w:rFonts w:ascii="Poppins" w:hAnsi="Poppins" w:cs="Poppins"/>
                <w:color w:val="000000"/>
                <w:sz w:val="21"/>
                <w:szCs w:val="21"/>
              </w:rPr>
              <w:t>six</w:t>
            </w:r>
            <w:r w:rsidR="005C0CDC">
              <w:rPr>
                <w:rFonts w:ascii="Poppins" w:hAnsi="Poppins" w:cs="Poppins"/>
                <w:color w:val="000000"/>
                <w:sz w:val="21"/>
                <w:szCs w:val="21"/>
              </w:rPr>
              <w:t xml:space="preserve"> </w:t>
            </w:r>
            <w:r w:rsidR="000D39A2">
              <w:rPr>
                <w:rFonts w:ascii="Poppins" w:hAnsi="Poppins" w:cs="Poppins"/>
                <w:color w:val="000000"/>
                <w:sz w:val="21"/>
                <w:szCs w:val="21"/>
              </w:rPr>
              <w:t>c</w:t>
            </w:r>
            <w:r w:rsidR="005C0CDC">
              <w:rPr>
                <w:rFonts w:ascii="Poppins" w:hAnsi="Poppins" w:cs="Poppins"/>
                <w:color w:val="000000"/>
                <w:sz w:val="21"/>
                <w:szCs w:val="21"/>
              </w:rPr>
              <w:t xml:space="preserve">ommunity </w:t>
            </w:r>
            <w:r w:rsidR="000D39A2">
              <w:rPr>
                <w:rFonts w:ascii="Poppins" w:hAnsi="Poppins" w:cs="Poppins"/>
                <w:color w:val="000000"/>
                <w:sz w:val="21"/>
                <w:szCs w:val="21"/>
              </w:rPr>
              <w:t>m</w:t>
            </w:r>
            <w:r w:rsidR="005C0CDC">
              <w:rPr>
                <w:rFonts w:ascii="Poppins" w:hAnsi="Poppins" w:cs="Poppins"/>
                <w:color w:val="000000"/>
                <w:sz w:val="21"/>
                <w:szCs w:val="21"/>
              </w:rPr>
              <w:t>embers</w:t>
            </w:r>
            <w:r w:rsidR="00131647" w:rsidRPr="00D166B0">
              <w:rPr>
                <w:rFonts w:ascii="Poppins" w:hAnsi="Poppins" w:cs="Poppins"/>
                <w:color w:val="000000"/>
                <w:sz w:val="21"/>
                <w:szCs w:val="21"/>
              </w:rPr>
              <w:t xml:space="preserve"> </w:t>
            </w:r>
          </w:p>
          <w:p w14:paraId="346AB081" w14:textId="67E68657" w:rsidR="005C0CDC" w:rsidRPr="00347229" w:rsidRDefault="000D39A2" w:rsidP="005C0CDC">
            <w:pPr>
              <w:pStyle w:val="ListParagraph"/>
              <w:numPr>
                <w:ilvl w:val="1"/>
                <w:numId w:val="5"/>
              </w:numPr>
              <w:spacing w:before="120" w:after="120" w:line="240" w:lineRule="auto"/>
              <w:ind w:left="822" w:hanging="425"/>
              <w:contextualSpacing w:val="0"/>
              <w:rPr>
                <w:rFonts w:ascii="Poppins" w:hAnsi="Poppins" w:cs="Poppins"/>
                <w:sz w:val="21"/>
                <w:szCs w:val="21"/>
              </w:rPr>
            </w:pPr>
            <w:bookmarkStart w:id="0" w:name="_Hlk72905910"/>
            <w:r>
              <w:rPr>
                <w:rFonts w:ascii="Poppins" w:hAnsi="Poppins" w:cs="Poppins"/>
                <w:color w:val="000000"/>
                <w:sz w:val="21"/>
                <w:szCs w:val="21"/>
              </w:rPr>
              <w:t>t</w:t>
            </w:r>
            <w:r w:rsidR="00347229">
              <w:rPr>
                <w:rFonts w:ascii="Poppins" w:hAnsi="Poppins" w:cs="Poppins"/>
                <w:color w:val="000000"/>
                <w:sz w:val="21"/>
                <w:szCs w:val="21"/>
              </w:rPr>
              <w:t>hree</w:t>
            </w:r>
            <w:r w:rsidR="005C0CDC">
              <w:rPr>
                <w:rFonts w:ascii="Poppins" w:hAnsi="Poppins" w:cs="Poppins"/>
                <w:color w:val="000000"/>
                <w:sz w:val="21"/>
                <w:szCs w:val="21"/>
              </w:rPr>
              <w:t xml:space="preserve"> </w:t>
            </w:r>
            <w:r>
              <w:rPr>
                <w:rFonts w:ascii="Poppins" w:hAnsi="Poppins" w:cs="Poppins"/>
                <w:color w:val="000000"/>
                <w:sz w:val="21"/>
                <w:szCs w:val="21"/>
              </w:rPr>
              <w:t>y</w:t>
            </w:r>
            <w:r w:rsidR="005C0CDC">
              <w:rPr>
                <w:rFonts w:ascii="Poppins" w:hAnsi="Poppins" w:cs="Poppins"/>
                <w:color w:val="000000"/>
                <w:sz w:val="21"/>
                <w:szCs w:val="21"/>
              </w:rPr>
              <w:t xml:space="preserve">outh </w:t>
            </w:r>
            <w:r>
              <w:rPr>
                <w:rFonts w:ascii="Poppins" w:hAnsi="Poppins" w:cs="Poppins"/>
                <w:color w:val="000000"/>
                <w:sz w:val="21"/>
                <w:szCs w:val="21"/>
              </w:rPr>
              <w:t>m</w:t>
            </w:r>
            <w:r w:rsidR="005C0CDC">
              <w:rPr>
                <w:rFonts w:ascii="Poppins" w:hAnsi="Poppins" w:cs="Poppins"/>
                <w:color w:val="000000"/>
                <w:sz w:val="21"/>
                <w:szCs w:val="21"/>
              </w:rPr>
              <w:t>embers</w:t>
            </w:r>
            <w:r>
              <w:rPr>
                <w:rFonts w:ascii="Poppins" w:hAnsi="Poppins" w:cs="Poppins"/>
                <w:color w:val="000000"/>
                <w:sz w:val="21"/>
                <w:szCs w:val="21"/>
              </w:rPr>
              <w:t>.</w:t>
            </w:r>
            <w:bookmarkEnd w:id="0"/>
          </w:p>
          <w:p w14:paraId="0B4CA6C5" w14:textId="2ED699E1" w:rsidR="00347229" w:rsidRPr="008E6665" w:rsidRDefault="00347229" w:rsidP="005C0CDC">
            <w:pPr>
              <w:pStyle w:val="ListParagraph"/>
              <w:numPr>
                <w:ilvl w:val="1"/>
                <w:numId w:val="5"/>
              </w:numPr>
              <w:spacing w:before="120" w:after="120" w:line="240" w:lineRule="auto"/>
              <w:ind w:left="822" w:hanging="425"/>
              <w:contextualSpacing w:val="0"/>
              <w:rPr>
                <w:rFonts w:ascii="Poppins" w:hAnsi="Poppins" w:cs="Poppins"/>
                <w:sz w:val="21"/>
                <w:szCs w:val="21"/>
              </w:rPr>
            </w:pPr>
            <w:r>
              <w:rPr>
                <w:rFonts w:ascii="Poppins" w:hAnsi="Poppins" w:cs="Poppins"/>
                <w:color w:val="000000"/>
                <w:sz w:val="21"/>
                <w:szCs w:val="21"/>
              </w:rPr>
              <w:t>Race Equality Panel representative</w:t>
            </w:r>
          </w:p>
          <w:p w14:paraId="1F237B71" w14:textId="4039B2B4" w:rsidR="008E6665" w:rsidRPr="00347229" w:rsidRDefault="008E6665" w:rsidP="005C0CDC">
            <w:pPr>
              <w:pStyle w:val="ListParagraph"/>
              <w:numPr>
                <w:ilvl w:val="1"/>
                <w:numId w:val="5"/>
              </w:numPr>
              <w:spacing w:before="120" w:after="120" w:line="240" w:lineRule="auto"/>
              <w:ind w:left="822" w:hanging="425"/>
              <w:contextualSpacing w:val="0"/>
              <w:rPr>
                <w:rFonts w:ascii="Poppins" w:hAnsi="Poppins" w:cs="Poppins"/>
                <w:sz w:val="21"/>
                <w:szCs w:val="21"/>
              </w:rPr>
            </w:pPr>
            <w:r>
              <w:rPr>
                <w:rFonts w:ascii="Poppins" w:hAnsi="Poppins" w:cs="Poppins"/>
                <w:color w:val="000000"/>
                <w:sz w:val="21"/>
                <w:szCs w:val="21"/>
              </w:rPr>
              <w:lastRenderedPageBreak/>
              <w:t>LCRCA Co-sponsors x 2</w:t>
            </w:r>
          </w:p>
          <w:p w14:paraId="66CF585D" w14:textId="4DA15E86" w:rsidR="00131647" w:rsidRPr="005C0CDC" w:rsidRDefault="00131647" w:rsidP="005C0CDC">
            <w:pPr>
              <w:spacing w:before="120" w:after="120"/>
              <w:ind w:left="397"/>
              <w:rPr>
                <w:rFonts w:ascii="Poppins" w:hAnsi="Poppins" w:cs="Poppins"/>
                <w:sz w:val="21"/>
                <w:szCs w:val="21"/>
              </w:rPr>
            </w:pPr>
          </w:p>
          <w:p w14:paraId="2148CF7D" w14:textId="47808E8C" w:rsidR="00131647" w:rsidRDefault="00131647" w:rsidP="00131647">
            <w:pPr>
              <w:spacing w:after="160" w:line="259" w:lineRule="auto"/>
              <w:jc w:val="both"/>
              <w:rPr>
                <w:rFonts w:ascii="Poppins" w:hAnsi="Poppins" w:cs="Poppins"/>
                <w:sz w:val="21"/>
                <w:szCs w:val="21"/>
              </w:rPr>
            </w:pPr>
            <w:r w:rsidRPr="00D166B0">
              <w:rPr>
                <w:rFonts w:ascii="Poppins" w:hAnsi="Poppins" w:cs="Poppins"/>
                <w:sz w:val="21"/>
                <w:szCs w:val="21"/>
              </w:rPr>
              <w:t xml:space="preserve">Members of the </w:t>
            </w:r>
            <w:r w:rsidR="005C0CDC">
              <w:rPr>
                <w:rFonts w:ascii="Poppins" w:hAnsi="Poppins" w:cs="Poppins"/>
                <w:sz w:val="21"/>
                <w:szCs w:val="21"/>
              </w:rPr>
              <w:t xml:space="preserve">Advisory Board </w:t>
            </w:r>
            <w:r w:rsidRPr="00D166B0">
              <w:rPr>
                <w:rFonts w:ascii="Poppins" w:hAnsi="Poppins" w:cs="Poppins"/>
                <w:sz w:val="21"/>
                <w:szCs w:val="21"/>
              </w:rPr>
              <w:t xml:space="preserve">are expected to attend at least 75% of all meetings and should aim to attend all meetings. Attendance will be recorded and monitored. </w:t>
            </w:r>
          </w:p>
          <w:p w14:paraId="3B7DE6DD" w14:textId="54C66B94" w:rsidR="00043520" w:rsidRPr="00D166B0" w:rsidRDefault="005C0CDC" w:rsidP="00131647">
            <w:pPr>
              <w:spacing w:after="160" w:line="259" w:lineRule="auto"/>
              <w:jc w:val="both"/>
              <w:rPr>
                <w:rFonts w:ascii="Poppins" w:hAnsi="Poppins" w:cs="Poppins"/>
                <w:sz w:val="21"/>
                <w:szCs w:val="21"/>
              </w:rPr>
            </w:pPr>
            <w:r>
              <w:rPr>
                <w:rFonts w:ascii="Poppins" w:hAnsi="Poppins" w:cs="Poppins"/>
                <w:sz w:val="21"/>
                <w:szCs w:val="21"/>
              </w:rPr>
              <w:t xml:space="preserve">Meetings will also be attended by the Race Equality Hub Programme Director.  Other LCRCA staff, including the LCRCA Sponsor and </w:t>
            </w:r>
            <w:r w:rsidR="003D6F6A">
              <w:rPr>
                <w:rFonts w:ascii="Poppins" w:hAnsi="Poppins" w:cs="Poppins"/>
                <w:sz w:val="21"/>
                <w:szCs w:val="21"/>
              </w:rPr>
              <w:t xml:space="preserve">LCRCA </w:t>
            </w:r>
            <w:r>
              <w:rPr>
                <w:rFonts w:ascii="Poppins" w:hAnsi="Poppins" w:cs="Poppins"/>
                <w:sz w:val="21"/>
                <w:szCs w:val="21"/>
              </w:rPr>
              <w:t>Co-Sponsor, may attend meetings from time to time.</w:t>
            </w:r>
          </w:p>
        </w:tc>
      </w:tr>
      <w:tr w:rsidR="00131647" w:rsidRPr="00D166B0" w14:paraId="33702650" w14:textId="77777777" w:rsidTr="00AE64A3">
        <w:tc>
          <w:tcPr>
            <w:tcW w:w="2410" w:type="dxa"/>
            <w:tcBorders>
              <w:left w:val="double" w:sz="4" w:space="0" w:color="auto"/>
            </w:tcBorders>
            <w:shd w:val="clear" w:color="auto" w:fill="F2F2F2" w:themeFill="background1" w:themeFillShade="F2"/>
          </w:tcPr>
          <w:p w14:paraId="14419AA2" w14:textId="77777777" w:rsidR="00131647" w:rsidRPr="00D166B0" w:rsidRDefault="00131647" w:rsidP="00131647">
            <w:pPr>
              <w:pStyle w:val="ListParagraph"/>
              <w:numPr>
                <w:ilvl w:val="0"/>
                <w:numId w:val="1"/>
              </w:numPr>
              <w:tabs>
                <w:tab w:val="left" w:pos="306"/>
              </w:tabs>
              <w:spacing w:before="120" w:after="120" w:line="240" w:lineRule="auto"/>
              <w:ind w:left="164" w:hanging="142"/>
              <w:rPr>
                <w:rFonts w:ascii="Poppins" w:hAnsi="Poppins" w:cs="Poppins"/>
                <w:b/>
                <w:sz w:val="21"/>
                <w:szCs w:val="21"/>
              </w:rPr>
            </w:pPr>
            <w:r w:rsidRPr="00D166B0">
              <w:rPr>
                <w:rFonts w:ascii="Poppins" w:hAnsi="Poppins" w:cs="Poppins"/>
                <w:b/>
                <w:sz w:val="21"/>
                <w:szCs w:val="21"/>
              </w:rPr>
              <w:lastRenderedPageBreak/>
              <w:t>Equality, diversity, and inclusion</w:t>
            </w:r>
          </w:p>
        </w:tc>
        <w:tc>
          <w:tcPr>
            <w:tcW w:w="6946" w:type="dxa"/>
            <w:tcBorders>
              <w:right w:val="double" w:sz="4" w:space="0" w:color="auto"/>
            </w:tcBorders>
          </w:tcPr>
          <w:p w14:paraId="33D5FDA3" w14:textId="0BC40440" w:rsidR="00131647" w:rsidRPr="00D166B0" w:rsidRDefault="00131647" w:rsidP="00131647">
            <w:pPr>
              <w:spacing w:before="120" w:after="120"/>
              <w:jc w:val="both"/>
              <w:rPr>
                <w:rFonts w:ascii="Poppins" w:hAnsi="Poppins" w:cs="Poppins"/>
                <w:sz w:val="21"/>
                <w:szCs w:val="21"/>
              </w:rPr>
            </w:pPr>
            <w:r w:rsidRPr="00D166B0">
              <w:rPr>
                <w:rFonts w:ascii="Poppins" w:hAnsi="Poppins" w:cs="Poppins"/>
                <w:sz w:val="21"/>
                <w:szCs w:val="21"/>
              </w:rPr>
              <w:t xml:space="preserve">In conducting its </w:t>
            </w:r>
            <w:r w:rsidR="003D6F6A">
              <w:rPr>
                <w:rFonts w:ascii="Poppins" w:hAnsi="Poppins" w:cs="Poppins"/>
                <w:sz w:val="21"/>
                <w:szCs w:val="21"/>
              </w:rPr>
              <w:t>activities</w:t>
            </w:r>
            <w:r w:rsidRPr="00D166B0">
              <w:rPr>
                <w:rFonts w:ascii="Poppins" w:hAnsi="Poppins" w:cs="Poppins"/>
                <w:sz w:val="21"/>
                <w:szCs w:val="21"/>
              </w:rPr>
              <w:t>, the</w:t>
            </w:r>
            <w:r w:rsidR="003D6F6A">
              <w:rPr>
                <w:rFonts w:ascii="Poppins" w:hAnsi="Poppins" w:cs="Poppins"/>
                <w:sz w:val="21"/>
                <w:szCs w:val="21"/>
              </w:rPr>
              <w:t xml:space="preserve"> Advisory Board</w:t>
            </w:r>
            <w:r w:rsidR="00DD6C47">
              <w:rPr>
                <w:rFonts w:ascii="Poppins" w:hAnsi="Poppins" w:cs="Poppins"/>
                <w:sz w:val="21"/>
                <w:szCs w:val="21"/>
              </w:rPr>
              <w:t xml:space="preserve"> </w:t>
            </w:r>
            <w:r w:rsidRPr="00D166B0">
              <w:rPr>
                <w:rFonts w:ascii="Poppins" w:hAnsi="Poppins" w:cs="Poppins"/>
                <w:sz w:val="21"/>
                <w:szCs w:val="21"/>
              </w:rPr>
              <w:t xml:space="preserve">will </w:t>
            </w:r>
            <w:proofErr w:type="gramStart"/>
            <w:r w:rsidRPr="00D166B0">
              <w:rPr>
                <w:rFonts w:ascii="Poppins" w:hAnsi="Poppins" w:cs="Poppins"/>
                <w:sz w:val="21"/>
                <w:szCs w:val="21"/>
              </w:rPr>
              <w:t>at all times</w:t>
            </w:r>
            <w:proofErr w:type="gramEnd"/>
            <w:r w:rsidRPr="00D166B0">
              <w:rPr>
                <w:rFonts w:ascii="Poppins" w:hAnsi="Poppins" w:cs="Poppins"/>
                <w:sz w:val="21"/>
                <w:szCs w:val="21"/>
              </w:rPr>
              <w:t xml:space="preserve"> seek to promote its commitment to equality and diversity by the creation of an environment that is inclusive for both its staff and its partners including those who have protected characteristics and vulnerable members of our community.</w:t>
            </w:r>
          </w:p>
        </w:tc>
      </w:tr>
      <w:tr w:rsidR="00131647" w:rsidRPr="00D166B0" w14:paraId="5F777F34" w14:textId="77777777" w:rsidTr="00AE64A3">
        <w:tc>
          <w:tcPr>
            <w:tcW w:w="2410" w:type="dxa"/>
            <w:tcBorders>
              <w:left w:val="double" w:sz="4" w:space="0" w:color="auto"/>
            </w:tcBorders>
            <w:shd w:val="clear" w:color="auto" w:fill="F2F2F2" w:themeFill="background1" w:themeFillShade="F2"/>
          </w:tcPr>
          <w:p w14:paraId="30235A22" w14:textId="77777777" w:rsidR="00131647" w:rsidRPr="00D166B0" w:rsidRDefault="00131647" w:rsidP="00131647">
            <w:pPr>
              <w:pStyle w:val="ListParagraph"/>
              <w:numPr>
                <w:ilvl w:val="0"/>
                <w:numId w:val="1"/>
              </w:numPr>
              <w:spacing w:before="120" w:after="120" w:line="240" w:lineRule="auto"/>
              <w:ind w:left="306" w:hanging="306"/>
              <w:rPr>
                <w:rFonts w:ascii="Poppins" w:hAnsi="Poppins" w:cs="Poppins"/>
                <w:b/>
                <w:sz w:val="21"/>
                <w:szCs w:val="21"/>
              </w:rPr>
            </w:pPr>
            <w:r w:rsidRPr="00D166B0">
              <w:rPr>
                <w:rFonts w:ascii="Poppins" w:hAnsi="Poppins" w:cs="Poppins"/>
                <w:b/>
                <w:sz w:val="21"/>
                <w:szCs w:val="21"/>
              </w:rPr>
              <w:t>Conflicts of interest</w:t>
            </w:r>
          </w:p>
        </w:tc>
        <w:tc>
          <w:tcPr>
            <w:tcW w:w="6946" w:type="dxa"/>
            <w:tcBorders>
              <w:right w:val="double" w:sz="4" w:space="0" w:color="auto"/>
            </w:tcBorders>
          </w:tcPr>
          <w:p w14:paraId="574586D1" w14:textId="093E79B8" w:rsidR="00131647" w:rsidRPr="00D166B0" w:rsidRDefault="003D6F6A" w:rsidP="00131647">
            <w:pPr>
              <w:shd w:val="clear" w:color="auto" w:fill="FFFFFF"/>
              <w:jc w:val="both"/>
              <w:rPr>
                <w:rStyle w:val="eop"/>
                <w:rFonts w:ascii="Poppins" w:hAnsi="Poppins" w:cs="Poppins"/>
                <w:sz w:val="21"/>
                <w:szCs w:val="21"/>
              </w:rPr>
            </w:pPr>
            <w:r>
              <w:rPr>
                <w:rStyle w:val="eop"/>
                <w:rFonts w:ascii="Poppins" w:hAnsi="Poppins" w:cs="Poppins"/>
                <w:sz w:val="21"/>
                <w:szCs w:val="21"/>
              </w:rPr>
              <w:t>Advisory</w:t>
            </w:r>
            <w:r w:rsidR="00451B2A">
              <w:rPr>
                <w:rStyle w:val="eop"/>
                <w:rFonts w:ascii="Poppins" w:hAnsi="Poppins" w:cs="Poppins"/>
                <w:sz w:val="21"/>
                <w:szCs w:val="21"/>
              </w:rPr>
              <w:t xml:space="preserve"> </w:t>
            </w:r>
            <w:r w:rsidR="00131647" w:rsidRPr="00D166B0">
              <w:rPr>
                <w:rStyle w:val="eop"/>
                <w:rFonts w:ascii="Poppins" w:hAnsi="Poppins" w:cs="Poppins"/>
                <w:sz w:val="21"/>
                <w:szCs w:val="21"/>
              </w:rPr>
              <w:t xml:space="preserve">Board </w:t>
            </w:r>
            <w:r>
              <w:rPr>
                <w:rStyle w:val="eop"/>
                <w:rFonts w:ascii="Poppins" w:hAnsi="Poppins" w:cs="Poppins"/>
                <w:sz w:val="21"/>
                <w:szCs w:val="21"/>
              </w:rPr>
              <w:t>m</w:t>
            </w:r>
            <w:r w:rsidR="00131647" w:rsidRPr="00D166B0">
              <w:rPr>
                <w:rStyle w:val="eop"/>
                <w:rFonts w:ascii="Poppins" w:hAnsi="Poppins" w:cs="Poppins"/>
                <w:sz w:val="21"/>
                <w:szCs w:val="21"/>
              </w:rPr>
              <w:t xml:space="preserve">embers will be required to declare any conflicts of interest as they arise. They will need to adhere to the Seven Principles of Public Life, as drawn up by the Committee on Standards in Public Life more commonly known as the Nolan Principles. </w:t>
            </w:r>
          </w:p>
          <w:p w14:paraId="2151F02C" w14:textId="77777777" w:rsidR="00131647" w:rsidRPr="00D166B0" w:rsidRDefault="00131647" w:rsidP="00131647">
            <w:pPr>
              <w:shd w:val="clear" w:color="auto" w:fill="FFFFFF"/>
              <w:jc w:val="both"/>
              <w:rPr>
                <w:rFonts w:ascii="Poppins" w:hAnsi="Poppins" w:cs="Poppins"/>
                <w:color w:val="FF0000"/>
                <w:sz w:val="21"/>
                <w:szCs w:val="21"/>
              </w:rPr>
            </w:pPr>
          </w:p>
        </w:tc>
      </w:tr>
      <w:tr w:rsidR="00FB5BA6" w:rsidRPr="00D166B0" w14:paraId="11AD31EE" w14:textId="77777777" w:rsidTr="00AE64A3">
        <w:tc>
          <w:tcPr>
            <w:tcW w:w="2410" w:type="dxa"/>
            <w:tcBorders>
              <w:left w:val="double" w:sz="4" w:space="0" w:color="auto"/>
            </w:tcBorders>
            <w:shd w:val="clear" w:color="auto" w:fill="F2F2F2" w:themeFill="background1" w:themeFillShade="F2"/>
          </w:tcPr>
          <w:p w14:paraId="760A764F" w14:textId="55D40CA2" w:rsidR="00FB5BA6" w:rsidRPr="00D166B0" w:rsidRDefault="00FB5BA6" w:rsidP="00FB5BA6">
            <w:pPr>
              <w:pStyle w:val="ListParagraph"/>
              <w:numPr>
                <w:ilvl w:val="0"/>
                <w:numId w:val="1"/>
              </w:numPr>
              <w:spacing w:before="120" w:after="120" w:line="240" w:lineRule="auto"/>
              <w:ind w:left="306" w:hanging="306"/>
              <w:rPr>
                <w:rFonts w:ascii="Poppins" w:hAnsi="Poppins" w:cs="Poppins"/>
                <w:b/>
                <w:sz w:val="21"/>
                <w:szCs w:val="21"/>
              </w:rPr>
            </w:pPr>
            <w:r w:rsidRPr="00D166B0">
              <w:rPr>
                <w:rFonts w:ascii="Poppins" w:hAnsi="Poppins" w:cs="Poppins"/>
                <w:b/>
                <w:sz w:val="21"/>
                <w:szCs w:val="21"/>
              </w:rPr>
              <w:t>Accountability</w:t>
            </w:r>
          </w:p>
        </w:tc>
        <w:tc>
          <w:tcPr>
            <w:tcW w:w="6946" w:type="dxa"/>
            <w:tcBorders>
              <w:right w:val="double" w:sz="4" w:space="0" w:color="auto"/>
            </w:tcBorders>
          </w:tcPr>
          <w:p w14:paraId="42F58708" w14:textId="339CE7FC" w:rsidR="00FB5BA6" w:rsidRPr="00D166B0" w:rsidRDefault="00FB5BA6" w:rsidP="00FB5BA6">
            <w:pPr>
              <w:spacing w:before="120" w:after="120"/>
              <w:jc w:val="both"/>
              <w:rPr>
                <w:rFonts w:ascii="Poppins" w:hAnsi="Poppins" w:cs="Poppins"/>
                <w:sz w:val="21"/>
                <w:szCs w:val="21"/>
              </w:rPr>
            </w:pPr>
            <w:r w:rsidRPr="00D166B0">
              <w:rPr>
                <w:rFonts w:ascii="Poppins" w:hAnsi="Poppins" w:cs="Poppins"/>
                <w:sz w:val="21"/>
                <w:szCs w:val="21"/>
              </w:rPr>
              <w:t xml:space="preserve">The </w:t>
            </w:r>
            <w:r>
              <w:rPr>
                <w:rFonts w:ascii="Poppins" w:hAnsi="Poppins" w:cs="Poppins"/>
                <w:sz w:val="21"/>
                <w:szCs w:val="21"/>
              </w:rPr>
              <w:t xml:space="preserve">Advisory </w:t>
            </w:r>
            <w:r w:rsidRPr="00D166B0">
              <w:rPr>
                <w:rFonts w:ascii="Poppins" w:hAnsi="Poppins" w:cs="Poppins"/>
                <w:sz w:val="21"/>
                <w:szCs w:val="21"/>
              </w:rPr>
              <w:t xml:space="preserve">Board, through its </w:t>
            </w:r>
            <w:r w:rsidR="003D6F6A">
              <w:rPr>
                <w:rFonts w:ascii="Poppins" w:hAnsi="Poppins" w:cs="Poppins"/>
                <w:sz w:val="21"/>
                <w:szCs w:val="21"/>
              </w:rPr>
              <w:t>c</w:t>
            </w:r>
            <w:r w:rsidRPr="00D166B0">
              <w:rPr>
                <w:rFonts w:ascii="Poppins" w:hAnsi="Poppins" w:cs="Poppins"/>
                <w:sz w:val="21"/>
                <w:szCs w:val="21"/>
              </w:rPr>
              <w:t xml:space="preserve">hair is responsible to the </w:t>
            </w:r>
            <w:r>
              <w:rPr>
                <w:rFonts w:ascii="Poppins" w:hAnsi="Poppins" w:cs="Poppins"/>
                <w:sz w:val="21"/>
                <w:szCs w:val="21"/>
              </w:rPr>
              <w:t>Race Equality Hub Programme Director.</w:t>
            </w:r>
          </w:p>
          <w:p w14:paraId="215E91BD" w14:textId="133801F2" w:rsidR="00FB5BA6" w:rsidRDefault="00FB5BA6" w:rsidP="003D6F6A">
            <w:pPr>
              <w:spacing w:before="120" w:after="120"/>
              <w:jc w:val="both"/>
              <w:rPr>
                <w:rFonts w:ascii="Poppins" w:hAnsi="Poppins" w:cs="Poppins"/>
                <w:sz w:val="21"/>
                <w:szCs w:val="21"/>
              </w:rPr>
            </w:pPr>
            <w:r w:rsidRPr="00D166B0">
              <w:rPr>
                <w:rFonts w:ascii="Poppins" w:hAnsi="Poppins" w:cs="Poppins"/>
                <w:sz w:val="21"/>
                <w:szCs w:val="21"/>
              </w:rPr>
              <w:t xml:space="preserve">The </w:t>
            </w:r>
            <w:r>
              <w:rPr>
                <w:rFonts w:ascii="Poppins" w:hAnsi="Poppins" w:cs="Poppins"/>
                <w:sz w:val="21"/>
                <w:szCs w:val="21"/>
              </w:rPr>
              <w:t>Race Equality Hub Programme Director is responsible to the LCRCA Co-Sponsor.</w:t>
            </w:r>
            <w:r w:rsidRPr="00D166B0">
              <w:rPr>
                <w:rFonts w:ascii="Poppins" w:hAnsi="Poppins" w:cs="Poppins"/>
                <w:sz w:val="21"/>
                <w:szCs w:val="21"/>
              </w:rPr>
              <w:t xml:space="preserve"> </w:t>
            </w:r>
          </w:p>
          <w:p w14:paraId="0A69A35F" w14:textId="04A970ED" w:rsidR="003D6F6A" w:rsidRDefault="003D6F6A" w:rsidP="003D6F6A">
            <w:pPr>
              <w:spacing w:before="120" w:after="120"/>
              <w:jc w:val="both"/>
              <w:rPr>
                <w:rStyle w:val="eop"/>
                <w:rFonts w:ascii="Poppins" w:hAnsi="Poppins" w:cs="Poppins"/>
                <w:sz w:val="21"/>
                <w:szCs w:val="21"/>
              </w:rPr>
            </w:pPr>
            <w:r w:rsidRPr="00D166B0">
              <w:rPr>
                <w:rFonts w:ascii="Poppins" w:hAnsi="Poppins" w:cs="Poppins"/>
                <w:sz w:val="21"/>
                <w:szCs w:val="21"/>
              </w:rPr>
              <w:t xml:space="preserve">The </w:t>
            </w:r>
            <w:r>
              <w:rPr>
                <w:rFonts w:ascii="Poppins" w:hAnsi="Poppins" w:cs="Poppins"/>
                <w:sz w:val="21"/>
                <w:szCs w:val="21"/>
              </w:rPr>
              <w:t>LCRCA Co-Sponsor is responsible to the LCRCA Sponsor.</w:t>
            </w:r>
          </w:p>
        </w:tc>
      </w:tr>
      <w:tr w:rsidR="009178F7" w:rsidRPr="00D166B0" w14:paraId="74667AEA" w14:textId="77777777" w:rsidTr="00AE64A3">
        <w:tc>
          <w:tcPr>
            <w:tcW w:w="2410" w:type="dxa"/>
            <w:tcBorders>
              <w:left w:val="double" w:sz="4" w:space="0" w:color="auto"/>
            </w:tcBorders>
            <w:shd w:val="clear" w:color="auto" w:fill="F2F2F2" w:themeFill="background1" w:themeFillShade="F2"/>
          </w:tcPr>
          <w:p w14:paraId="046CF713" w14:textId="2030BA3E" w:rsidR="009178F7" w:rsidRPr="00D166B0" w:rsidRDefault="009178F7" w:rsidP="00131647">
            <w:pPr>
              <w:pStyle w:val="ListParagraph"/>
              <w:numPr>
                <w:ilvl w:val="0"/>
                <w:numId w:val="1"/>
              </w:numPr>
              <w:spacing w:before="120" w:after="120" w:line="240" w:lineRule="auto"/>
              <w:ind w:left="306" w:hanging="306"/>
              <w:rPr>
                <w:rFonts w:ascii="Poppins" w:hAnsi="Poppins" w:cs="Poppins"/>
                <w:b/>
                <w:sz w:val="21"/>
                <w:szCs w:val="21"/>
              </w:rPr>
            </w:pPr>
            <w:r>
              <w:rPr>
                <w:rFonts w:ascii="Poppins" w:hAnsi="Poppins" w:cs="Poppins"/>
                <w:b/>
                <w:sz w:val="21"/>
                <w:szCs w:val="21"/>
              </w:rPr>
              <w:t>Decisions</w:t>
            </w:r>
          </w:p>
        </w:tc>
        <w:tc>
          <w:tcPr>
            <w:tcW w:w="6946" w:type="dxa"/>
            <w:tcBorders>
              <w:right w:val="double" w:sz="4" w:space="0" w:color="auto"/>
            </w:tcBorders>
          </w:tcPr>
          <w:p w14:paraId="634F4DBF" w14:textId="68EF24BF" w:rsidR="009178F7" w:rsidRDefault="005C0CDC" w:rsidP="00131647">
            <w:pPr>
              <w:shd w:val="clear" w:color="auto" w:fill="FFFFFF"/>
              <w:jc w:val="both"/>
              <w:rPr>
                <w:rStyle w:val="eop"/>
                <w:rFonts w:ascii="Poppins" w:hAnsi="Poppins" w:cs="Poppins"/>
                <w:sz w:val="21"/>
                <w:szCs w:val="21"/>
              </w:rPr>
            </w:pPr>
            <w:r>
              <w:rPr>
                <w:rFonts w:ascii="Poppins" w:hAnsi="Poppins" w:cs="Poppins"/>
                <w:sz w:val="21"/>
                <w:szCs w:val="21"/>
              </w:rPr>
              <w:t xml:space="preserve">Race </w:t>
            </w:r>
            <w:r w:rsidR="00FB5BA6">
              <w:rPr>
                <w:rFonts w:ascii="Poppins" w:hAnsi="Poppins" w:cs="Poppins"/>
                <w:sz w:val="21"/>
                <w:szCs w:val="21"/>
              </w:rPr>
              <w:t>Equality</w:t>
            </w:r>
            <w:r>
              <w:rPr>
                <w:rFonts w:ascii="Poppins" w:hAnsi="Poppins" w:cs="Poppins"/>
                <w:sz w:val="21"/>
                <w:szCs w:val="21"/>
              </w:rPr>
              <w:t xml:space="preserve"> Hu</w:t>
            </w:r>
            <w:r w:rsidR="00FB5BA6">
              <w:rPr>
                <w:rFonts w:ascii="Poppins" w:hAnsi="Poppins" w:cs="Poppins"/>
                <w:sz w:val="21"/>
                <w:szCs w:val="21"/>
              </w:rPr>
              <w:t>b</w:t>
            </w:r>
            <w:r>
              <w:rPr>
                <w:rFonts w:ascii="Poppins" w:hAnsi="Poppins" w:cs="Poppins"/>
                <w:sz w:val="21"/>
                <w:szCs w:val="21"/>
              </w:rPr>
              <w:t xml:space="preserve"> </w:t>
            </w:r>
            <w:r w:rsidR="00FB5BA6">
              <w:rPr>
                <w:rFonts w:ascii="Poppins" w:hAnsi="Poppins" w:cs="Poppins"/>
                <w:sz w:val="21"/>
                <w:szCs w:val="21"/>
              </w:rPr>
              <w:t>d</w:t>
            </w:r>
            <w:r w:rsidR="009178F7">
              <w:rPr>
                <w:rFonts w:ascii="Poppins" w:hAnsi="Poppins" w:cs="Poppins"/>
                <w:sz w:val="21"/>
                <w:szCs w:val="21"/>
              </w:rPr>
              <w:t xml:space="preserve">ecisions will be </w:t>
            </w:r>
            <w:r w:rsidR="00FB5BA6">
              <w:rPr>
                <w:rFonts w:ascii="Poppins" w:hAnsi="Poppins" w:cs="Poppins"/>
                <w:sz w:val="21"/>
                <w:szCs w:val="21"/>
              </w:rPr>
              <w:t>taken by the Executive Sponsor exercising delegated authority granted by LCRCA.</w:t>
            </w:r>
          </w:p>
        </w:tc>
      </w:tr>
    </w:tbl>
    <w:p w14:paraId="68CB4B9C" w14:textId="77777777" w:rsidR="00C6773F" w:rsidRPr="00D166B0" w:rsidRDefault="00C6773F">
      <w:pPr>
        <w:rPr>
          <w:rFonts w:ascii="Poppins" w:hAnsi="Poppins" w:cs="Poppins"/>
          <w:sz w:val="21"/>
          <w:szCs w:val="21"/>
        </w:rPr>
      </w:pPr>
    </w:p>
    <w:p w14:paraId="55364EB6" w14:textId="77777777" w:rsidR="00D166B0" w:rsidRPr="00D166B0" w:rsidRDefault="00D166B0">
      <w:pPr>
        <w:rPr>
          <w:rFonts w:ascii="Poppins" w:hAnsi="Poppins" w:cs="Poppins"/>
          <w:sz w:val="21"/>
          <w:szCs w:val="21"/>
        </w:rPr>
      </w:pPr>
    </w:p>
    <w:sectPr w:rsidR="00D166B0" w:rsidRPr="00D166B0">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23460" w14:textId="77777777" w:rsidR="00873977" w:rsidRDefault="00873977" w:rsidP="007D7EF6">
      <w:r>
        <w:separator/>
      </w:r>
    </w:p>
  </w:endnote>
  <w:endnote w:type="continuationSeparator" w:id="0">
    <w:p w14:paraId="479DBEE3" w14:textId="77777777" w:rsidR="00873977" w:rsidRDefault="00873977" w:rsidP="007D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E0BAD" w14:textId="77777777" w:rsidR="00873977" w:rsidRDefault="00873977" w:rsidP="007D7EF6">
      <w:r>
        <w:separator/>
      </w:r>
    </w:p>
  </w:footnote>
  <w:footnote w:type="continuationSeparator" w:id="0">
    <w:p w14:paraId="51EFEF27" w14:textId="77777777" w:rsidR="00873977" w:rsidRDefault="00873977" w:rsidP="007D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1134" w14:textId="2E76C089" w:rsidR="00633777" w:rsidRDefault="00633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5881" w14:textId="1CC5018B" w:rsidR="007D7EF6" w:rsidRPr="001D5E98" w:rsidRDefault="007D7EF6" w:rsidP="00D166B0">
    <w:pPr>
      <w:pStyle w:val="Header"/>
      <w:tabs>
        <w:tab w:val="left" w:pos="898"/>
      </w:tabs>
      <w:rPr>
        <w:b/>
        <w:bCs/>
        <w:sz w:val="52"/>
        <w:szCs w:val="52"/>
      </w:rPr>
    </w:pPr>
    <w:r>
      <w:rPr>
        <w:b/>
        <w:bCs/>
        <w:noProof/>
        <w:sz w:val="52"/>
        <w:szCs w:val="52"/>
      </w:rPr>
      <mc:AlternateContent>
        <mc:Choice Requires="wps">
          <w:drawing>
            <wp:anchor distT="0" distB="0" distL="114300" distR="114300" simplePos="0" relativeHeight="251659264" behindDoc="0" locked="0" layoutInCell="1" allowOverlap="1" wp14:anchorId="5F0909EE" wp14:editId="78CECAB8">
              <wp:simplePos x="0" y="0"/>
              <wp:positionH relativeFrom="column">
                <wp:posOffset>3119157</wp:posOffset>
              </wp:positionH>
              <wp:positionV relativeFrom="paragraph">
                <wp:posOffset>-36830</wp:posOffset>
              </wp:positionV>
              <wp:extent cx="2775473" cy="623944"/>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775473" cy="623944"/>
                      </a:xfrm>
                      <a:prstGeom prst="rect">
                        <a:avLst/>
                      </a:prstGeom>
                      <a:solidFill>
                        <a:schemeClr val="lt1"/>
                      </a:solidFill>
                      <a:ln w="6350">
                        <a:noFill/>
                      </a:ln>
                    </wps:spPr>
                    <wps:txbx>
                      <w:txbxContent>
                        <w:p w14:paraId="2DA6B6E9" w14:textId="60518F2E" w:rsidR="007D7EF6" w:rsidRDefault="007D7EF6" w:rsidP="007D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0909EE" id="_x0000_t202" coordsize="21600,21600" o:spt="202" path="m,l,21600r21600,l21600,xe">
              <v:stroke joinstyle="miter"/>
              <v:path gradientshapeok="t" o:connecttype="rect"/>
            </v:shapetype>
            <v:shape id="Text Box 1" o:spid="_x0000_s1026" type="#_x0000_t202" style="position:absolute;margin-left:245.6pt;margin-top:-2.9pt;width:218.55pt;height:49.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" fillcolor="white [3201]" stroked="f" strokeweight=".5pt">
              <v:textbox>
                <w:txbxContent>
                  <w:p w14:paraId="2DA6B6E9" w14:textId="60518F2E" w:rsidR="007D7EF6" w:rsidRDefault="007D7EF6" w:rsidP="007D7EF6"/>
                </w:txbxContent>
              </v:textbox>
            </v:shape>
          </w:pict>
        </mc:Fallback>
      </mc:AlternateContent>
    </w:r>
    <w:r w:rsidR="00D166B0">
      <w:rPr>
        <w:b/>
        <w:bCs/>
        <w:sz w:val="52"/>
        <w:szCs w:val="52"/>
      </w:rPr>
      <w:tab/>
    </w:r>
    <w:r>
      <w:rPr>
        <w:b/>
        <w:bCs/>
        <w:sz w:val="52"/>
        <w:szCs w:val="52"/>
      </w:rPr>
      <w:tab/>
    </w:r>
  </w:p>
  <w:p w14:paraId="366EF72A" w14:textId="77777777" w:rsidR="007D7EF6" w:rsidRPr="007D7EF6" w:rsidRDefault="007D7EF6" w:rsidP="007D7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999A" w14:textId="27B03890" w:rsidR="00633777" w:rsidRDefault="00633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21"/>
    <w:multiLevelType w:val="hybridMultilevel"/>
    <w:tmpl w:val="2C68FD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70773"/>
    <w:multiLevelType w:val="hybridMultilevel"/>
    <w:tmpl w:val="C528116C"/>
    <w:lvl w:ilvl="0" w:tplc="DD4E7FAA">
      <w:start w:val="1"/>
      <w:numFmt w:val="lowerLetter"/>
      <w:lvlText w:val="%1)"/>
      <w:lvlJc w:val="left"/>
      <w:pPr>
        <w:ind w:left="1800" w:hanging="360"/>
      </w:pPr>
      <w:rPr>
        <w:rFonts w:hint="default"/>
        <w:b w:val="0"/>
        <w:bCs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1B1312"/>
    <w:multiLevelType w:val="hybridMultilevel"/>
    <w:tmpl w:val="ABA21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561F3B"/>
    <w:multiLevelType w:val="hybridMultilevel"/>
    <w:tmpl w:val="35F2DBA0"/>
    <w:lvl w:ilvl="0" w:tplc="3C70FA18">
      <w:start w:val="1"/>
      <w:numFmt w:val="lowerLetter"/>
      <w:lvlText w:val="%1)"/>
      <w:lvlJc w:val="left"/>
      <w:pPr>
        <w:ind w:left="720" w:hanging="360"/>
      </w:pPr>
      <w:rPr>
        <w:rFonts w:hint="default"/>
        <w:b w:val="0"/>
        <w:bCs w:val="0"/>
        <w:color w:val="auto"/>
      </w:rPr>
    </w:lvl>
    <w:lvl w:ilvl="1" w:tplc="86247C3A">
      <w:start w:val="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339F5"/>
    <w:multiLevelType w:val="hybridMultilevel"/>
    <w:tmpl w:val="710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53188"/>
    <w:multiLevelType w:val="hybridMultilevel"/>
    <w:tmpl w:val="CADE497A"/>
    <w:lvl w:ilvl="0" w:tplc="D212B074">
      <w:start w:val="1"/>
      <w:numFmt w:val="bullet"/>
      <w:lvlText w:val=""/>
      <w:lvlJc w:val="left"/>
      <w:pPr>
        <w:ind w:left="1440" w:hanging="360"/>
      </w:pPr>
      <w:rPr>
        <w:rFonts w:ascii="Symbol" w:hAnsi="Symbol" w:hint="default"/>
        <w:color w:val="8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190415B"/>
    <w:multiLevelType w:val="hybridMultilevel"/>
    <w:tmpl w:val="1598E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D57E9"/>
    <w:multiLevelType w:val="hybridMultilevel"/>
    <w:tmpl w:val="803862C4"/>
    <w:lvl w:ilvl="0" w:tplc="0809000F">
      <w:start w:val="1"/>
      <w:numFmt w:val="decimal"/>
      <w:lvlText w:val="%1."/>
      <w:lvlJc w:val="left"/>
      <w:pPr>
        <w:ind w:left="339" w:hanging="360"/>
      </w:pPr>
      <w:rPr>
        <w:rFonts w:hint="default"/>
      </w:rPr>
    </w:lvl>
    <w:lvl w:ilvl="1" w:tplc="08090019" w:tentative="1">
      <w:start w:val="1"/>
      <w:numFmt w:val="lowerLetter"/>
      <w:lvlText w:val="%2."/>
      <w:lvlJc w:val="left"/>
      <w:pPr>
        <w:ind w:left="1059" w:hanging="360"/>
      </w:pPr>
    </w:lvl>
    <w:lvl w:ilvl="2" w:tplc="0809001B" w:tentative="1">
      <w:start w:val="1"/>
      <w:numFmt w:val="lowerRoman"/>
      <w:lvlText w:val="%3."/>
      <w:lvlJc w:val="right"/>
      <w:pPr>
        <w:ind w:left="1779" w:hanging="180"/>
      </w:pPr>
    </w:lvl>
    <w:lvl w:ilvl="3" w:tplc="0809000F" w:tentative="1">
      <w:start w:val="1"/>
      <w:numFmt w:val="decimal"/>
      <w:lvlText w:val="%4."/>
      <w:lvlJc w:val="left"/>
      <w:pPr>
        <w:ind w:left="2499" w:hanging="360"/>
      </w:pPr>
    </w:lvl>
    <w:lvl w:ilvl="4" w:tplc="08090019" w:tentative="1">
      <w:start w:val="1"/>
      <w:numFmt w:val="lowerLetter"/>
      <w:lvlText w:val="%5."/>
      <w:lvlJc w:val="left"/>
      <w:pPr>
        <w:ind w:left="3219" w:hanging="360"/>
      </w:pPr>
    </w:lvl>
    <w:lvl w:ilvl="5" w:tplc="0809001B" w:tentative="1">
      <w:start w:val="1"/>
      <w:numFmt w:val="lowerRoman"/>
      <w:lvlText w:val="%6."/>
      <w:lvlJc w:val="right"/>
      <w:pPr>
        <w:ind w:left="3939" w:hanging="180"/>
      </w:pPr>
    </w:lvl>
    <w:lvl w:ilvl="6" w:tplc="0809000F" w:tentative="1">
      <w:start w:val="1"/>
      <w:numFmt w:val="decimal"/>
      <w:lvlText w:val="%7."/>
      <w:lvlJc w:val="left"/>
      <w:pPr>
        <w:ind w:left="4659" w:hanging="360"/>
      </w:pPr>
    </w:lvl>
    <w:lvl w:ilvl="7" w:tplc="08090019" w:tentative="1">
      <w:start w:val="1"/>
      <w:numFmt w:val="lowerLetter"/>
      <w:lvlText w:val="%8."/>
      <w:lvlJc w:val="left"/>
      <w:pPr>
        <w:ind w:left="5379" w:hanging="360"/>
      </w:pPr>
    </w:lvl>
    <w:lvl w:ilvl="8" w:tplc="0809001B" w:tentative="1">
      <w:start w:val="1"/>
      <w:numFmt w:val="lowerRoman"/>
      <w:lvlText w:val="%9."/>
      <w:lvlJc w:val="right"/>
      <w:pPr>
        <w:ind w:left="6099" w:hanging="180"/>
      </w:pPr>
    </w:lvl>
  </w:abstractNum>
  <w:abstractNum w:abstractNumId="8" w15:restartNumberingAfterBreak="0">
    <w:nsid w:val="61A83B78"/>
    <w:multiLevelType w:val="hybridMultilevel"/>
    <w:tmpl w:val="4F20FB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25C84"/>
    <w:multiLevelType w:val="hybridMultilevel"/>
    <w:tmpl w:val="0F86D072"/>
    <w:lvl w:ilvl="0" w:tplc="D212B074">
      <w:start w:val="1"/>
      <w:numFmt w:val="bullet"/>
      <w:lvlText w:val=""/>
      <w:lvlJc w:val="left"/>
      <w:pPr>
        <w:ind w:left="720" w:hanging="360"/>
      </w:pPr>
      <w:rPr>
        <w:rFonts w:ascii="Symbol" w:hAnsi="Symbol" w:hint="default"/>
        <w:color w:val="800000"/>
      </w:rPr>
    </w:lvl>
    <w:lvl w:ilvl="1" w:tplc="D212B074">
      <w:start w:val="1"/>
      <w:numFmt w:val="bullet"/>
      <w:lvlText w:val=""/>
      <w:lvlJc w:val="left"/>
      <w:pPr>
        <w:ind w:left="1440" w:hanging="360"/>
      </w:pPr>
      <w:rPr>
        <w:rFonts w:ascii="Symbol" w:hAnsi="Symbol" w:hint="default"/>
        <w:color w:val="8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2113F6"/>
    <w:multiLevelType w:val="hybridMultilevel"/>
    <w:tmpl w:val="EA78B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D0F08"/>
    <w:multiLevelType w:val="hybridMultilevel"/>
    <w:tmpl w:val="B6A449EC"/>
    <w:lvl w:ilvl="0" w:tplc="D212B074">
      <w:start w:val="1"/>
      <w:numFmt w:val="bullet"/>
      <w:lvlText w:val=""/>
      <w:lvlJc w:val="left"/>
      <w:pPr>
        <w:ind w:left="720" w:hanging="360"/>
      </w:pPr>
      <w:rPr>
        <w:rFonts w:ascii="Symbol" w:hAnsi="Symbol" w:hint="default"/>
        <w:color w:val="800000"/>
      </w:rPr>
    </w:lvl>
    <w:lvl w:ilvl="1" w:tplc="D212B074">
      <w:start w:val="1"/>
      <w:numFmt w:val="bullet"/>
      <w:lvlText w:val=""/>
      <w:lvlJc w:val="left"/>
      <w:pPr>
        <w:ind w:left="1440" w:hanging="360"/>
      </w:pPr>
      <w:rPr>
        <w:rFonts w:ascii="Symbol" w:hAnsi="Symbol" w:hint="default"/>
        <w:color w:val="8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467210">
    <w:abstractNumId w:val="7"/>
  </w:num>
  <w:num w:numId="2" w16cid:durableId="169293750">
    <w:abstractNumId w:val="1"/>
  </w:num>
  <w:num w:numId="3" w16cid:durableId="1617129558">
    <w:abstractNumId w:val="3"/>
  </w:num>
  <w:num w:numId="4" w16cid:durableId="1117483475">
    <w:abstractNumId w:val="5"/>
  </w:num>
  <w:num w:numId="5" w16cid:durableId="1401053690">
    <w:abstractNumId w:val="11"/>
  </w:num>
  <w:num w:numId="6" w16cid:durableId="1077939211">
    <w:abstractNumId w:val="9"/>
  </w:num>
  <w:num w:numId="7" w16cid:durableId="137116675">
    <w:abstractNumId w:val="10"/>
  </w:num>
  <w:num w:numId="8" w16cid:durableId="607734582">
    <w:abstractNumId w:val="6"/>
  </w:num>
  <w:num w:numId="9" w16cid:durableId="1701272465">
    <w:abstractNumId w:val="8"/>
  </w:num>
  <w:num w:numId="10" w16cid:durableId="765465372">
    <w:abstractNumId w:val="2"/>
  </w:num>
  <w:num w:numId="11" w16cid:durableId="811361321">
    <w:abstractNumId w:val="0"/>
  </w:num>
  <w:num w:numId="12" w16cid:durableId="463431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F6"/>
    <w:rsid w:val="00002B3A"/>
    <w:rsid w:val="00043520"/>
    <w:rsid w:val="00054C75"/>
    <w:rsid w:val="00075A08"/>
    <w:rsid w:val="000C12C2"/>
    <w:rsid w:val="000D39A2"/>
    <w:rsid w:val="00131647"/>
    <w:rsid w:val="00156E7D"/>
    <w:rsid w:val="001757BD"/>
    <w:rsid w:val="001A4588"/>
    <w:rsid w:val="001B56D9"/>
    <w:rsid w:val="001C1431"/>
    <w:rsid w:val="001F666C"/>
    <w:rsid w:val="0022038D"/>
    <w:rsid w:val="002903EA"/>
    <w:rsid w:val="002944B2"/>
    <w:rsid w:val="002C2FA3"/>
    <w:rsid w:val="002D6000"/>
    <w:rsid w:val="00300767"/>
    <w:rsid w:val="0030263A"/>
    <w:rsid w:val="00331436"/>
    <w:rsid w:val="003427C6"/>
    <w:rsid w:val="00347229"/>
    <w:rsid w:val="00365A73"/>
    <w:rsid w:val="00370CE2"/>
    <w:rsid w:val="003B742D"/>
    <w:rsid w:val="003D6F6A"/>
    <w:rsid w:val="003F0D01"/>
    <w:rsid w:val="004142A4"/>
    <w:rsid w:val="00421E97"/>
    <w:rsid w:val="00451B2A"/>
    <w:rsid w:val="004A0488"/>
    <w:rsid w:val="004A649F"/>
    <w:rsid w:val="004C245F"/>
    <w:rsid w:val="004C3289"/>
    <w:rsid w:val="005369BD"/>
    <w:rsid w:val="005B1865"/>
    <w:rsid w:val="005C0CDC"/>
    <w:rsid w:val="00620B7A"/>
    <w:rsid w:val="00633777"/>
    <w:rsid w:val="006445AF"/>
    <w:rsid w:val="0065478F"/>
    <w:rsid w:val="006B0F97"/>
    <w:rsid w:val="00706080"/>
    <w:rsid w:val="0073079A"/>
    <w:rsid w:val="0073254E"/>
    <w:rsid w:val="007C68C2"/>
    <w:rsid w:val="007D7EF6"/>
    <w:rsid w:val="008043BF"/>
    <w:rsid w:val="00827E66"/>
    <w:rsid w:val="00841208"/>
    <w:rsid w:val="00860F57"/>
    <w:rsid w:val="00873977"/>
    <w:rsid w:val="00885220"/>
    <w:rsid w:val="008B3A71"/>
    <w:rsid w:val="008D762C"/>
    <w:rsid w:val="008E6665"/>
    <w:rsid w:val="008F4F4C"/>
    <w:rsid w:val="009178F7"/>
    <w:rsid w:val="009270D6"/>
    <w:rsid w:val="0094485A"/>
    <w:rsid w:val="009C59B2"/>
    <w:rsid w:val="009D3563"/>
    <w:rsid w:val="00A07F7C"/>
    <w:rsid w:val="00A16D80"/>
    <w:rsid w:val="00A43364"/>
    <w:rsid w:val="00A443E9"/>
    <w:rsid w:val="00A74C0B"/>
    <w:rsid w:val="00AA3896"/>
    <w:rsid w:val="00AE64A3"/>
    <w:rsid w:val="00AF2D09"/>
    <w:rsid w:val="00B46F7E"/>
    <w:rsid w:val="00B66A1F"/>
    <w:rsid w:val="00B748DC"/>
    <w:rsid w:val="00BB25A3"/>
    <w:rsid w:val="00BE00FA"/>
    <w:rsid w:val="00C0129C"/>
    <w:rsid w:val="00C06F6D"/>
    <w:rsid w:val="00C6773F"/>
    <w:rsid w:val="00C7324D"/>
    <w:rsid w:val="00C816CF"/>
    <w:rsid w:val="00CE1C58"/>
    <w:rsid w:val="00D166B0"/>
    <w:rsid w:val="00D21A81"/>
    <w:rsid w:val="00D35021"/>
    <w:rsid w:val="00D45BE6"/>
    <w:rsid w:val="00D84E4D"/>
    <w:rsid w:val="00DD07A0"/>
    <w:rsid w:val="00DD6C47"/>
    <w:rsid w:val="00E03E87"/>
    <w:rsid w:val="00E23AEE"/>
    <w:rsid w:val="00F14F6A"/>
    <w:rsid w:val="00F1695B"/>
    <w:rsid w:val="00F204B0"/>
    <w:rsid w:val="00FA5CCB"/>
    <w:rsid w:val="00FB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722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F6"/>
    <w:rPr>
      <w:rFonts w:ascii="Calibri" w:eastAsia="Times New Roman" w:hAnsi="Calibri" w:cs="Calibri"/>
      <w:sz w:val="22"/>
      <w:szCs w:val="22"/>
      <w:lang w:val="en-US" w:eastAsia="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EF6"/>
    <w:rPr>
      <w:rFonts w:ascii="Calibri" w:eastAsiaTheme="minorEastAsia" w:hAnsi="Calibri"/>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ptionOther">
    <w:name w:val="Caption Other"/>
    <w:next w:val="Normal"/>
    <w:qFormat/>
    <w:rsid w:val="007D7EF6"/>
    <w:pPr>
      <w:keepNext/>
      <w:spacing w:before="130" w:after="120"/>
      <w:ind w:left="737"/>
    </w:pPr>
    <w:rPr>
      <w:rFonts w:ascii="Calibri" w:eastAsiaTheme="minorEastAsia" w:hAnsi="Calibri"/>
      <w:b/>
      <w:sz w:val="22"/>
      <w:szCs w:val="22"/>
      <w:lang w:val="en-US" w:bidi="en-US"/>
    </w:rPr>
  </w:style>
  <w:style w:type="paragraph" w:styleId="ListParagraph">
    <w:name w:val="List Paragraph"/>
    <w:aliases w:val="Dot pt,No Spacing1,List Paragraph Char Char Char,Indicator Text,Numbered Para 1,Bullet 1,List Paragraph1,F5 List Paragraph,Bullet Points,MAIN CONTENT,Colorful List - Accent 11,List Paragraph2,List Paragraph12,OBC Bullet,List Paragraph11,L"/>
    <w:basedOn w:val="Normal"/>
    <w:link w:val="ListParagraphChar"/>
    <w:uiPriority w:val="34"/>
    <w:qFormat/>
    <w:rsid w:val="007D7EF6"/>
    <w:pPr>
      <w:spacing w:after="160" w:line="259" w:lineRule="auto"/>
      <w:ind w:left="720"/>
      <w:contextualSpacing/>
    </w:pPr>
    <w:rPr>
      <w:rFonts w:asciiTheme="minorHAnsi" w:eastAsiaTheme="minorHAnsi" w:hAnsiTheme="minorHAnsi"/>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Colorful List - Accent 11 Char"/>
    <w:basedOn w:val="DefaultParagraphFont"/>
    <w:link w:val="ListParagraph"/>
    <w:uiPriority w:val="34"/>
    <w:qFormat/>
    <w:locked/>
    <w:rsid w:val="007D7EF6"/>
    <w:rPr>
      <w:rFonts w:cs="Calibri"/>
      <w:sz w:val="22"/>
      <w:szCs w:val="22"/>
      <w:lang w:val="en-US" w:eastAsia="en-GB" w:bidi="en-US"/>
    </w:rPr>
  </w:style>
  <w:style w:type="paragraph" w:styleId="NormalWeb">
    <w:name w:val="Normal (Web)"/>
    <w:basedOn w:val="Normal"/>
    <w:uiPriority w:val="99"/>
    <w:unhideWhenUsed/>
    <w:rsid w:val="007D7EF6"/>
    <w:pPr>
      <w:spacing w:before="100" w:beforeAutospacing="1" w:after="100" w:afterAutospacing="1"/>
    </w:pPr>
  </w:style>
  <w:style w:type="character" w:customStyle="1" w:styleId="eop">
    <w:name w:val="eop"/>
    <w:basedOn w:val="DefaultParagraphFont"/>
    <w:rsid w:val="007D7EF6"/>
  </w:style>
  <w:style w:type="paragraph" w:styleId="Header">
    <w:name w:val="header"/>
    <w:basedOn w:val="Normal"/>
    <w:link w:val="HeaderChar"/>
    <w:uiPriority w:val="99"/>
    <w:unhideWhenUsed/>
    <w:rsid w:val="007D7EF6"/>
    <w:pPr>
      <w:tabs>
        <w:tab w:val="center" w:pos="4513"/>
        <w:tab w:val="right" w:pos="9026"/>
      </w:tabs>
    </w:pPr>
  </w:style>
  <w:style w:type="character" w:customStyle="1" w:styleId="HeaderChar">
    <w:name w:val="Header Char"/>
    <w:basedOn w:val="DefaultParagraphFont"/>
    <w:link w:val="Header"/>
    <w:uiPriority w:val="99"/>
    <w:rsid w:val="007D7EF6"/>
    <w:rPr>
      <w:rFonts w:ascii="Calibri" w:eastAsia="Times New Roman" w:hAnsi="Calibri" w:cs="Calibri"/>
      <w:sz w:val="22"/>
      <w:szCs w:val="22"/>
      <w:lang w:val="en-US" w:eastAsia="en-GB" w:bidi="en-US"/>
    </w:rPr>
  </w:style>
  <w:style w:type="paragraph" w:styleId="Footer">
    <w:name w:val="footer"/>
    <w:basedOn w:val="Normal"/>
    <w:link w:val="FooterChar"/>
    <w:uiPriority w:val="99"/>
    <w:unhideWhenUsed/>
    <w:rsid w:val="007D7EF6"/>
    <w:pPr>
      <w:tabs>
        <w:tab w:val="center" w:pos="4513"/>
        <w:tab w:val="right" w:pos="9026"/>
      </w:tabs>
    </w:pPr>
  </w:style>
  <w:style w:type="character" w:customStyle="1" w:styleId="FooterChar">
    <w:name w:val="Footer Char"/>
    <w:basedOn w:val="DefaultParagraphFont"/>
    <w:link w:val="Footer"/>
    <w:uiPriority w:val="99"/>
    <w:rsid w:val="007D7EF6"/>
    <w:rPr>
      <w:rFonts w:ascii="Calibri" w:eastAsia="Times New Roman" w:hAnsi="Calibri" w:cs="Calibri"/>
      <w:sz w:val="22"/>
      <w:szCs w:val="22"/>
      <w:lang w:val="en-US" w:eastAsia="en-GB" w:bidi="en-US"/>
    </w:rPr>
  </w:style>
  <w:style w:type="paragraph" w:styleId="Revision">
    <w:name w:val="Revision"/>
    <w:hidden/>
    <w:uiPriority w:val="99"/>
    <w:semiHidden/>
    <w:rsid w:val="0073079A"/>
    <w:rPr>
      <w:rFonts w:ascii="Calibri" w:eastAsia="Times New Roman" w:hAnsi="Calibri" w:cs="Calibri"/>
      <w:sz w:val="22"/>
      <w:szCs w:val="22"/>
      <w:lang w:val="en-US" w:eastAsia="en-GB" w:bidi="en-US"/>
    </w:rPr>
  </w:style>
  <w:style w:type="paragraph" w:styleId="BalloonText">
    <w:name w:val="Balloon Text"/>
    <w:basedOn w:val="Normal"/>
    <w:link w:val="BalloonTextChar"/>
    <w:uiPriority w:val="99"/>
    <w:semiHidden/>
    <w:unhideWhenUsed/>
    <w:rsid w:val="003B7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42D"/>
    <w:rPr>
      <w:rFonts w:ascii="Segoe UI" w:eastAsia="Times New Roman" w:hAnsi="Segoe UI" w:cs="Segoe UI"/>
      <w:sz w:val="18"/>
      <w:szCs w:val="18"/>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5A04-0F3B-4E4C-AFAA-DD8C372E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2023-10-25T16:11:00Z</dcterms:created>
  <dcterms:modified xsi:type="dcterms:W3CDTF">2023-10-30T16:49:00Z</dcterms:modified>
</cp:coreProperties>
</file>