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1725" w14:textId="5326CCAA" w:rsidR="00F81CD0" w:rsidRDefault="73FCCFAA" w:rsidP="2FFE13E3">
      <w:pPr>
        <w:rPr>
          <w:rStyle w:val="normaltextrun"/>
          <w:b/>
          <w:bCs/>
          <w:sz w:val="36"/>
          <w:szCs w:val="36"/>
          <w:u w:val="single"/>
        </w:rPr>
      </w:pPr>
      <w:r>
        <w:rPr>
          <w:noProof/>
        </w:rPr>
        <w:drawing>
          <wp:inline distT="0" distB="0" distL="0" distR="0" wp14:anchorId="298091B4" wp14:editId="0B74F8A8">
            <wp:extent cx="5715000" cy="419100"/>
            <wp:effectExtent l="0" t="0" r="0" b="0"/>
            <wp:docPr id="1218649191" name="Picture 12186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00" cy="419100"/>
                    </a:xfrm>
                    <a:prstGeom prst="rect">
                      <a:avLst/>
                    </a:prstGeom>
                  </pic:spPr>
                </pic:pic>
              </a:graphicData>
            </a:graphic>
          </wp:inline>
        </w:drawing>
      </w:r>
      <w:r w:rsidR="00F33B86">
        <w:br/>
      </w:r>
      <w:r w:rsidR="00F33B86">
        <w:br/>
      </w:r>
      <w:r w:rsidR="00F33B86">
        <w:br/>
      </w:r>
      <w:r w:rsidR="00870FEF">
        <w:rPr>
          <w:rStyle w:val="normaltextrun"/>
          <w:rFonts w:ascii="Calibri" w:hAnsi="Calibri" w:cs="Calibri"/>
          <w:b/>
          <w:bCs/>
          <w:color w:val="000000"/>
          <w:sz w:val="36"/>
          <w:szCs w:val="36"/>
          <w:u w:val="single"/>
          <w:shd w:val="clear" w:color="auto" w:fill="FFFFFF"/>
        </w:rPr>
        <w:t>Community-led Employment Support</w:t>
      </w:r>
      <w:r w:rsidR="2735DA49" w:rsidRPr="00F33B86">
        <w:rPr>
          <w:rStyle w:val="normaltextrun"/>
          <w:rFonts w:ascii="Calibri" w:hAnsi="Calibri" w:cs="Calibri"/>
          <w:b/>
          <w:bCs/>
          <w:color w:val="000000"/>
          <w:sz w:val="36"/>
          <w:szCs w:val="36"/>
          <w:u w:val="single"/>
          <w:shd w:val="clear" w:color="auto" w:fill="FFFFFF"/>
        </w:rPr>
        <w:t xml:space="preserve"> call for projects</w:t>
      </w:r>
      <w:r w:rsidR="2735DA49" w:rsidRPr="00F33B86">
        <w:rPr>
          <w:rStyle w:val="normaltextrun"/>
          <w:b/>
          <w:bCs/>
          <w:sz w:val="36"/>
          <w:szCs w:val="36"/>
          <w:u w:val="single"/>
        </w:rPr>
        <w:t> – Application Guidance</w:t>
      </w:r>
    </w:p>
    <w:p w14:paraId="567C9FBD" w14:textId="5D59455C" w:rsidR="0024256F" w:rsidRPr="0024256F" w:rsidRDefault="00240690">
      <w:pPr>
        <w:rPr>
          <w:rStyle w:val="normaltextrun"/>
          <w:b/>
          <w:bCs/>
        </w:rPr>
      </w:pPr>
      <w:r>
        <w:rPr>
          <w:rStyle w:val="normaltextrun"/>
        </w:rPr>
        <w:t>This call, as part of our UK Shared Prosperity Fund delivery</w:t>
      </w:r>
      <w:r w:rsidR="007D38FC">
        <w:rPr>
          <w:rStyle w:val="normaltextrun"/>
        </w:rPr>
        <w:t>,</w:t>
      </w:r>
      <w:r>
        <w:rPr>
          <w:rStyle w:val="normaltextrun"/>
        </w:rPr>
        <w:t xml:space="preserve"> will be to provide </w:t>
      </w:r>
      <w:r w:rsidR="00870FEF" w:rsidRPr="1D24A118">
        <w:rPr>
          <w:rStyle w:val="normaltextrun"/>
        </w:rPr>
        <w:t>community</w:t>
      </w:r>
      <w:r w:rsidR="00870FEF">
        <w:rPr>
          <w:rStyle w:val="normaltextrun"/>
        </w:rPr>
        <w:t>-led employment support</w:t>
      </w:r>
      <w:r>
        <w:rPr>
          <w:rStyle w:val="normaltextrun"/>
        </w:rPr>
        <w:t xml:space="preserve">. </w:t>
      </w:r>
      <w:r w:rsidR="0024256F">
        <w:rPr>
          <w:rStyle w:val="normaltextrun"/>
        </w:rPr>
        <w:t xml:space="preserve">Alongside the Frequently Asked Questions, this document should provide you with guidance in completing your application. If you have any other </w:t>
      </w:r>
      <w:r w:rsidR="0082415B">
        <w:rPr>
          <w:rStyle w:val="normaltextrun"/>
        </w:rPr>
        <w:t>queries,</w:t>
      </w:r>
      <w:r w:rsidR="0024256F">
        <w:rPr>
          <w:rStyle w:val="normaltextrun"/>
        </w:rPr>
        <w:t xml:space="preserve"> please contact: </w:t>
      </w:r>
      <w:hyperlink r:id="rId10">
        <w:r w:rsidR="00507830" w:rsidRPr="1D24A118">
          <w:rPr>
            <w:rStyle w:val="Hyperlink"/>
          </w:rPr>
          <w:t>UKSPF@liverpoolcityregion-ca.gov.uk</w:t>
        </w:r>
      </w:hyperlink>
      <w:r w:rsidR="00507830" w:rsidRPr="1D24A118">
        <w:rPr>
          <w:rStyle w:val="normaltextrun"/>
        </w:rPr>
        <w:t xml:space="preserve"> </w:t>
      </w:r>
    </w:p>
    <w:p w14:paraId="50E5DE32" w14:textId="5AFE6C37" w:rsidR="00067D65" w:rsidRDefault="4E572F25">
      <w:pPr>
        <w:rPr>
          <w:rStyle w:val="normaltextrun"/>
        </w:rPr>
      </w:pPr>
      <w:r w:rsidRPr="5F395C2A">
        <w:rPr>
          <w:rStyle w:val="normaltextrun"/>
        </w:rPr>
        <w:t>The information provided to us will be used to appraise your application</w:t>
      </w:r>
      <w:r w:rsidR="2FFB7663" w:rsidRPr="5F395C2A">
        <w:rPr>
          <w:rStyle w:val="normaltextrun"/>
        </w:rPr>
        <w:t xml:space="preserve"> and undertake due diligence</w:t>
      </w:r>
      <w:r w:rsidRPr="5F395C2A">
        <w:rPr>
          <w:rStyle w:val="normaltextrun"/>
        </w:rPr>
        <w:t xml:space="preserve">. Information not supplied or missing will impact on the scoring of your application </w:t>
      </w:r>
      <w:r w:rsidR="6C806F65" w:rsidRPr="5F395C2A">
        <w:rPr>
          <w:rStyle w:val="normaltextrun"/>
        </w:rPr>
        <w:t>making</w:t>
      </w:r>
      <w:r w:rsidR="5E9AA1EF" w:rsidRPr="5F395C2A">
        <w:rPr>
          <w:rStyle w:val="normaltextrun"/>
        </w:rPr>
        <w:t xml:space="preserve"> it less likely you will be succes</w:t>
      </w:r>
      <w:r w:rsidR="6FA4E4A6" w:rsidRPr="5F395C2A">
        <w:rPr>
          <w:rStyle w:val="normaltextrun"/>
        </w:rPr>
        <w:t>s</w:t>
      </w:r>
      <w:r w:rsidR="5E9AA1EF" w:rsidRPr="5F395C2A">
        <w:rPr>
          <w:rStyle w:val="normaltextrun"/>
        </w:rPr>
        <w:t>ful</w:t>
      </w:r>
      <w:r w:rsidRPr="5F395C2A">
        <w:rPr>
          <w:rStyle w:val="normaltextrun"/>
        </w:rPr>
        <w:t xml:space="preserve">. </w:t>
      </w:r>
    </w:p>
    <w:p w14:paraId="5374ABEE" w14:textId="7F7A6095" w:rsidR="00067D65" w:rsidRDefault="00067D65">
      <w:pPr>
        <w:rPr>
          <w:rStyle w:val="normaltextrun"/>
        </w:rPr>
      </w:pPr>
      <w:r>
        <w:rPr>
          <w:rStyle w:val="normaltextrun"/>
        </w:rPr>
        <w:t xml:space="preserve">The information you submit will also form part of the funding agreement we will put in place so please ensure information supplied is honest, transparent, </w:t>
      </w:r>
      <w:proofErr w:type="gramStart"/>
      <w:r>
        <w:rPr>
          <w:rStyle w:val="normaltextrun"/>
        </w:rPr>
        <w:t>realistic</w:t>
      </w:r>
      <w:proofErr w:type="gramEnd"/>
      <w:r>
        <w:rPr>
          <w:rStyle w:val="normaltextrun"/>
        </w:rPr>
        <w:t xml:space="preserve"> and achievable.</w:t>
      </w:r>
    </w:p>
    <w:p w14:paraId="75B2A26E" w14:textId="7ABFDD3C" w:rsidR="00F33B86" w:rsidRDefault="00F33B86">
      <w:pPr>
        <w:rPr>
          <w:rStyle w:val="normaltextrun"/>
        </w:rPr>
      </w:pPr>
      <w:r>
        <w:rPr>
          <w:rStyle w:val="normaltextrun"/>
        </w:rPr>
        <w:t>The application process for this call will comprise:</w:t>
      </w:r>
    </w:p>
    <w:p w14:paraId="1938807D" w14:textId="0C86D1B2" w:rsidR="000D6DA0" w:rsidRDefault="00F33B86" w:rsidP="000D6DA0">
      <w:pPr>
        <w:pStyle w:val="ListParagraph"/>
        <w:numPr>
          <w:ilvl w:val="0"/>
          <w:numId w:val="4"/>
        </w:num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An Application Form with supporting documentation</w:t>
      </w:r>
    </w:p>
    <w:p w14:paraId="7D00CAA9" w14:textId="22ADFBC8" w:rsidR="001D5137" w:rsidRPr="001D5137" w:rsidRDefault="001D5137" w:rsidP="00136325">
      <w:pPr>
        <w:rPr>
          <w:rStyle w:val="normaltextrun"/>
          <w:rFonts w:ascii="Calibri" w:hAnsi="Calibri" w:cs="Calibri"/>
          <w:b/>
          <w:color w:val="000000"/>
          <w:sz w:val="24"/>
          <w:szCs w:val="24"/>
          <w:shd w:val="clear" w:color="auto" w:fill="FFFFFF"/>
        </w:rPr>
      </w:pPr>
      <w:r w:rsidRPr="001D5137">
        <w:rPr>
          <w:rStyle w:val="normaltextrun"/>
          <w:rFonts w:ascii="Calibri" w:hAnsi="Calibri" w:cs="Calibri"/>
          <w:b/>
          <w:color w:val="000000"/>
          <w:sz w:val="24"/>
          <w:szCs w:val="24"/>
          <w:shd w:val="clear" w:color="auto" w:fill="FFFFFF"/>
        </w:rPr>
        <w:t>Timeline</w:t>
      </w:r>
    </w:p>
    <w:p w14:paraId="05DC6489" w14:textId="7B6C18D0" w:rsidR="000D6DA0" w:rsidRDefault="00136325" w:rsidP="0013632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timeline for the call is as follows:</w:t>
      </w:r>
    </w:p>
    <w:tbl>
      <w:tblPr>
        <w:tblW w:w="7014" w:type="dxa"/>
        <w:tblCellMar>
          <w:left w:w="0" w:type="dxa"/>
          <w:right w:w="0" w:type="dxa"/>
        </w:tblCellMar>
        <w:tblLook w:val="0420" w:firstRow="1" w:lastRow="0" w:firstColumn="0" w:lastColumn="0" w:noHBand="0" w:noVBand="1"/>
      </w:tblPr>
      <w:tblGrid>
        <w:gridCol w:w="4101"/>
        <w:gridCol w:w="2913"/>
      </w:tblGrid>
      <w:tr w:rsidR="00136325" w:rsidRPr="000E6EA7" w14:paraId="5ACB28B4"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783EDF23" w14:textId="77777777" w:rsidR="00136325" w:rsidRPr="00554418" w:rsidRDefault="00136325" w:rsidP="002D017B">
            <w:pPr>
              <w:jc w:val="both"/>
            </w:pPr>
            <w:r w:rsidRPr="00554418">
              <w:t>Launch of call</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1F03406C" w14:textId="77777777" w:rsidR="00136325" w:rsidRPr="00554418" w:rsidRDefault="00136325" w:rsidP="002D017B">
            <w:pPr>
              <w:jc w:val="both"/>
            </w:pPr>
            <w:r w:rsidRPr="00554418">
              <w:t>13/11/23</w:t>
            </w:r>
          </w:p>
        </w:tc>
      </w:tr>
      <w:tr w:rsidR="00136325" w:rsidRPr="000E6EA7" w14:paraId="7B1E295F"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3EE56771" w14:textId="77777777" w:rsidR="00136325" w:rsidRPr="00554418" w:rsidRDefault="00136325" w:rsidP="002D017B">
            <w:pPr>
              <w:jc w:val="both"/>
            </w:pPr>
            <w:r w:rsidRPr="00554418">
              <w:t>Application submission window</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01BE4308" w14:textId="5E9F3AF2" w:rsidR="00136325" w:rsidRPr="00554418" w:rsidRDefault="00136325" w:rsidP="002D017B">
            <w:pPr>
              <w:jc w:val="both"/>
            </w:pPr>
            <w:r w:rsidRPr="00554418">
              <w:t xml:space="preserve">13/11/23 – </w:t>
            </w:r>
            <w:r w:rsidR="00A6317E">
              <w:t>12</w:t>
            </w:r>
            <w:r w:rsidRPr="00554418">
              <w:t>/01/24</w:t>
            </w:r>
          </w:p>
        </w:tc>
      </w:tr>
      <w:tr w:rsidR="00136325" w:rsidRPr="000E6EA7" w14:paraId="2059D0AD"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4F262CCE" w14:textId="77777777" w:rsidR="00136325" w:rsidRPr="00554418" w:rsidRDefault="00136325" w:rsidP="002D017B">
            <w:pPr>
              <w:jc w:val="both"/>
            </w:pPr>
            <w:r>
              <w:t>Deadline for applications</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0691BF05" w14:textId="0D3028C9" w:rsidR="00136325" w:rsidRPr="00554418" w:rsidRDefault="002427F0" w:rsidP="002D017B">
            <w:pPr>
              <w:jc w:val="both"/>
            </w:pPr>
            <w:r>
              <w:t xml:space="preserve">5pm, </w:t>
            </w:r>
            <w:r w:rsidR="00A6317E">
              <w:t>12</w:t>
            </w:r>
            <w:r w:rsidR="00136325">
              <w:t>/01/24</w:t>
            </w:r>
          </w:p>
        </w:tc>
      </w:tr>
      <w:tr w:rsidR="00136325" w:rsidRPr="000E6EA7" w14:paraId="53CE83DB"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30A7369E" w14:textId="77777777" w:rsidR="00136325" w:rsidRPr="00554418" w:rsidRDefault="00136325" w:rsidP="002D017B">
            <w:pPr>
              <w:jc w:val="both"/>
            </w:pPr>
            <w:r w:rsidRPr="00554418">
              <w:t>Panel assessment</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19E726F7" w14:textId="77777777" w:rsidR="00136325" w:rsidRPr="00554418" w:rsidRDefault="00136325" w:rsidP="002D017B">
            <w:pPr>
              <w:jc w:val="both"/>
            </w:pPr>
            <w:r w:rsidRPr="00554418">
              <w:t>Mid-Jan</w:t>
            </w:r>
          </w:p>
        </w:tc>
      </w:tr>
      <w:tr w:rsidR="00136325" w:rsidRPr="000E6EA7" w14:paraId="5C9899FC"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34A55641" w14:textId="77777777" w:rsidR="00136325" w:rsidRPr="00554418" w:rsidRDefault="00136325" w:rsidP="002D017B">
            <w:pPr>
              <w:jc w:val="both"/>
            </w:pPr>
            <w:r w:rsidRPr="00554418">
              <w:t>Award</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45EAD275" w14:textId="77777777" w:rsidR="00136325" w:rsidRPr="00554418" w:rsidRDefault="00136325" w:rsidP="002D017B">
            <w:pPr>
              <w:jc w:val="both"/>
            </w:pPr>
            <w:r w:rsidRPr="00554418">
              <w:t>Mid-Late Jan 2024</w:t>
            </w:r>
          </w:p>
        </w:tc>
      </w:tr>
      <w:tr w:rsidR="00136325" w:rsidRPr="000E6EA7" w14:paraId="704C97A3" w14:textId="77777777" w:rsidTr="7C06D870">
        <w:trPr>
          <w:trHeight w:val="555"/>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65583D53" w14:textId="77777777" w:rsidR="00136325" w:rsidRPr="00554418" w:rsidRDefault="00136325" w:rsidP="002D017B">
            <w:pPr>
              <w:jc w:val="both"/>
            </w:pPr>
            <w:r w:rsidRPr="00554418">
              <w:t>Contracting</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B4C7E7"/>
            <w:tcMar>
              <w:top w:w="72" w:type="dxa"/>
              <w:left w:w="144" w:type="dxa"/>
              <w:bottom w:w="72" w:type="dxa"/>
              <w:right w:w="144" w:type="dxa"/>
            </w:tcMar>
            <w:hideMark/>
          </w:tcPr>
          <w:p w14:paraId="05357EC2" w14:textId="77777777" w:rsidR="00136325" w:rsidRPr="00554418" w:rsidRDefault="00136325" w:rsidP="002D017B">
            <w:pPr>
              <w:jc w:val="both"/>
            </w:pPr>
            <w:r w:rsidRPr="00554418">
              <w:t>22/01/24 – end Feb</w:t>
            </w:r>
          </w:p>
        </w:tc>
      </w:tr>
      <w:tr w:rsidR="00136325" w:rsidRPr="000E6EA7" w14:paraId="21A536BE" w14:textId="77777777" w:rsidTr="7C06D870">
        <w:trPr>
          <w:trHeight w:val="548"/>
        </w:trPr>
        <w:tc>
          <w:tcPr>
            <w:tcW w:w="410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45624D23" w14:textId="77777777" w:rsidR="00136325" w:rsidRPr="00554418" w:rsidRDefault="00136325" w:rsidP="002D017B">
            <w:pPr>
              <w:jc w:val="both"/>
            </w:pPr>
            <w:r w:rsidRPr="00554418">
              <w:t>Delivery to commence</w:t>
            </w:r>
          </w:p>
        </w:tc>
        <w:tc>
          <w:tcPr>
            <w:tcW w:w="291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AE3F3"/>
            <w:tcMar>
              <w:top w:w="72" w:type="dxa"/>
              <w:left w:w="144" w:type="dxa"/>
              <w:bottom w:w="72" w:type="dxa"/>
              <w:right w:w="144" w:type="dxa"/>
            </w:tcMar>
            <w:hideMark/>
          </w:tcPr>
          <w:p w14:paraId="67361A8B" w14:textId="77777777" w:rsidR="00136325" w:rsidRPr="00554418" w:rsidRDefault="00136325" w:rsidP="002D017B">
            <w:pPr>
              <w:jc w:val="both"/>
            </w:pPr>
            <w:r w:rsidRPr="00554418">
              <w:t>April 24</w:t>
            </w:r>
          </w:p>
        </w:tc>
      </w:tr>
    </w:tbl>
    <w:p w14:paraId="6B2D0088" w14:textId="104973D3" w:rsidR="00136325" w:rsidRPr="00136325" w:rsidRDefault="00136325" w:rsidP="00136325">
      <w:pPr>
        <w:rPr>
          <w:rStyle w:val="normaltextrun"/>
          <w:rFonts w:ascii="Calibri" w:hAnsi="Calibri" w:cs="Calibri"/>
          <w:color w:val="000000"/>
          <w:shd w:val="clear" w:color="auto" w:fill="FFFFFF"/>
        </w:rPr>
      </w:pPr>
    </w:p>
    <w:p w14:paraId="0024D881" w14:textId="6F493AD7" w:rsidR="003425C0" w:rsidRPr="001D5137" w:rsidRDefault="003425C0" w:rsidP="3ABBFEBB">
      <w:pPr>
        <w:pStyle w:val="ListParagraph"/>
        <w:numPr>
          <w:ilvl w:val="0"/>
          <w:numId w:val="5"/>
        </w:numPr>
        <w:rPr>
          <w:rStyle w:val="normaltextrun"/>
          <w:rFonts w:ascii="Calibri" w:hAnsi="Calibri" w:cs="Calibri"/>
          <w:b/>
          <w:color w:val="000000"/>
          <w:sz w:val="24"/>
          <w:szCs w:val="24"/>
          <w:shd w:val="clear" w:color="auto" w:fill="FFFFFF"/>
        </w:rPr>
      </w:pPr>
      <w:r w:rsidRPr="001D5137">
        <w:rPr>
          <w:rStyle w:val="normaltextrun"/>
          <w:rFonts w:ascii="Calibri" w:hAnsi="Calibri" w:cs="Calibri"/>
          <w:b/>
          <w:color w:val="000000"/>
          <w:sz w:val="24"/>
          <w:szCs w:val="24"/>
          <w:shd w:val="clear" w:color="auto" w:fill="FFFFFF"/>
        </w:rPr>
        <w:t>Application Form</w:t>
      </w:r>
    </w:p>
    <w:p w14:paraId="2FCE2CBF" w14:textId="4EB0F0D2" w:rsidR="00F33B86" w:rsidRDefault="00F33B86"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application form will give you the opportunity to provide information on what you would spend the funding on, the expected outcomes of the project etc.</w:t>
      </w:r>
    </w:p>
    <w:p w14:paraId="2559241C" w14:textId="6B56C983" w:rsidR="00D65C20" w:rsidRDefault="00D65C20"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lastRenderedPageBreak/>
        <w:t>The window for submission of applications is</w:t>
      </w:r>
      <w:r w:rsidRPr="002427F0">
        <w:rPr>
          <w:rStyle w:val="normaltextrun"/>
          <w:rFonts w:ascii="Calibri" w:hAnsi="Calibri" w:cs="Calibri"/>
          <w:b/>
          <w:bCs/>
          <w:color w:val="000000"/>
          <w:shd w:val="clear" w:color="auto" w:fill="FFFFFF"/>
        </w:rPr>
        <w:t xml:space="preserve">: 13/11/2023 – </w:t>
      </w:r>
      <w:r w:rsidR="00A6317E" w:rsidRPr="002427F0">
        <w:rPr>
          <w:rStyle w:val="normaltextrun"/>
          <w:rFonts w:ascii="Calibri" w:hAnsi="Calibri" w:cs="Calibri"/>
          <w:b/>
          <w:bCs/>
          <w:color w:val="000000"/>
          <w:shd w:val="clear" w:color="auto" w:fill="FFFFFF"/>
        </w:rPr>
        <w:t xml:space="preserve">5pm </w:t>
      </w:r>
      <w:r w:rsidR="00D15403" w:rsidRPr="002427F0">
        <w:rPr>
          <w:rStyle w:val="normaltextrun"/>
          <w:rFonts w:ascii="Calibri" w:hAnsi="Calibri" w:cs="Calibri"/>
          <w:b/>
          <w:bCs/>
          <w:color w:val="000000"/>
          <w:shd w:val="clear" w:color="auto" w:fill="FFFFFF"/>
        </w:rPr>
        <w:t>12/01</w:t>
      </w:r>
      <w:r w:rsidR="00D15403">
        <w:rPr>
          <w:rStyle w:val="normaltextrun"/>
          <w:rFonts w:ascii="Calibri" w:hAnsi="Calibri" w:cs="Calibri"/>
          <w:b/>
          <w:bCs/>
          <w:color w:val="000000"/>
          <w:shd w:val="clear" w:color="auto" w:fill="FFFFFF"/>
        </w:rPr>
        <w:t>/2024.</w:t>
      </w:r>
    </w:p>
    <w:p w14:paraId="76544504" w14:textId="0628D2A1" w:rsidR="00F33B86" w:rsidRDefault="00F33B86"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Once applications are received these will be scored against the below criteria and assessed by a panel. The panel will agree the successful bidder</w:t>
      </w:r>
      <w:r w:rsidRPr="0F018DF6">
        <w:rPr>
          <w:rStyle w:val="normaltextrun"/>
          <w:rFonts w:ascii="Calibri" w:hAnsi="Calibri" w:cs="Calibri"/>
          <w:color w:val="000000" w:themeColor="text1"/>
        </w:rPr>
        <w:t xml:space="preserve"> </w:t>
      </w:r>
      <w:r>
        <w:rPr>
          <w:rStyle w:val="normaltextrun"/>
          <w:rFonts w:ascii="Calibri" w:hAnsi="Calibri" w:cs="Calibri"/>
          <w:color w:val="000000"/>
          <w:shd w:val="clear" w:color="auto" w:fill="FFFFFF"/>
        </w:rPr>
        <w:t>and you will be informed of the outcome.</w:t>
      </w:r>
      <w:r w:rsidR="5ACE76E3">
        <w:rPr>
          <w:rStyle w:val="normaltextrun"/>
          <w:rFonts w:ascii="Calibri" w:hAnsi="Calibri" w:cs="Calibri"/>
          <w:color w:val="000000"/>
          <w:shd w:val="clear" w:color="auto" w:fill="FFFFFF"/>
        </w:rPr>
        <w:t xml:space="preserve">  The panel decision is final and there is no right of appeal.</w:t>
      </w:r>
    </w:p>
    <w:p w14:paraId="2E0253BF" w14:textId="77777777" w:rsidR="00F2194D" w:rsidRDefault="00F2194D" w:rsidP="00F2194D">
      <w:pPr>
        <w:pStyle w:val="ListParagraph"/>
        <w:numPr>
          <w:ilvl w:val="0"/>
          <w:numId w:val="15"/>
        </w:numPr>
        <w:rPr>
          <w:sz w:val="24"/>
          <w:szCs w:val="24"/>
        </w:rPr>
      </w:pPr>
      <w:r w:rsidRPr="62F1C6E2">
        <w:rPr>
          <w:b/>
          <w:bCs/>
          <w:sz w:val="24"/>
          <w:szCs w:val="24"/>
        </w:rPr>
        <w:t>Deliverability</w:t>
      </w:r>
      <w:r w:rsidRPr="62F1C6E2">
        <w:rPr>
          <w:sz w:val="24"/>
          <w:szCs w:val="24"/>
        </w:rPr>
        <w:t xml:space="preserve"> – able to deliver project outcomes on time (before the spend deadline of March 2025) and to budget. Scoring against deliverability includes but is not limited to:</w:t>
      </w:r>
    </w:p>
    <w:p w14:paraId="2A53A120" w14:textId="77777777" w:rsidR="00F2194D" w:rsidRDefault="00F2194D" w:rsidP="00F2194D">
      <w:pPr>
        <w:pStyle w:val="ListParagraph"/>
        <w:numPr>
          <w:ilvl w:val="1"/>
          <w:numId w:val="15"/>
        </w:numPr>
        <w:rPr>
          <w:sz w:val="24"/>
          <w:szCs w:val="24"/>
        </w:rPr>
      </w:pPr>
      <w:r w:rsidRPr="62F1C6E2">
        <w:rPr>
          <w:sz w:val="24"/>
          <w:szCs w:val="24"/>
        </w:rPr>
        <w:t xml:space="preserve"> Geographical spread of delivery. The targets per Local Authority borough area are outlined below.</w:t>
      </w:r>
    </w:p>
    <w:p w14:paraId="65592130" w14:textId="77777777" w:rsidR="00F2194D" w:rsidRDefault="00F2194D" w:rsidP="00F2194D">
      <w:pPr>
        <w:pStyle w:val="ListParagraph"/>
        <w:numPr>
          <w:ilvl w:val="1"/>
          <w:numId w:val="15"/>
        </w:numPr>
        <w:rPr>
          <w:sz w:val="24"/>
          <w:szCs w:val="24"/>
        </w:rPr>
      </w:pPr>
      <w:r w:rsidRPr="7C06D870">
        <w:rPr>
          <w:sz w:val="24"/>
          <w:szCs w:val="24"/>
        </w:rPr>
        <w:t>Evidence of consortia and/or partnership working</w:t>
      </w:r>
    </w:p>
    <w:p w14:paraId="275B231A" w14:textId="61184A6F" w:rsidR="00F2194D" w:rsidRDefault="00F2194D" w:rsidP="00F2194D">
      <w:pPr>
        <w:pStyle w:val="ListParagraph"/>
        <w:numPr>
          <w:ilvl w:val="1"/>
          <w:numId w:val="15"/>
        </w:numPr>
        <w:rPr>
          <w:sz w:val="24"/>
          <w:szCs w:val="24"/>
        </w:rPr>
      </w:pPr>
      <w:r w:rsidRPr="7C06D870">
        <w:rPr>
          <w:sz w:val="24"/>
          <w:szCs w:val="24"/>
        </w:rPr>
        <w:t>Track record of delivery of similar projects and programmes</w:t>
      </w:r>
      <w:r w:rsidR="00380C91" w:rsidRPr="7C06D870">
        <w:rPr>
          <w:sz w:val="24"/>
          <w:szCs w:val="24"/>
        </w:rPr>
        <w:t xml:space="preserve"> and/or the skills to deliver </w:t>
      </w:r>
      <w:r w:rsidR="00AB69AA" w:rsidRPr="7C06D870">
        <w:rPr>
          <w:sz w:val="24"/>
          <w:szCs w:val="24"/>
        </w:rPr>
        <w:t xml:space="preserve">against this </w:t>
      </w:r>
      <w:r w:rsidR="00D15403" w:rsidRPr="7C06D870">
        <w:rPr>
          <w:sz w:val="24"/>
          <w:szCs w:val="24"/>
        </w:rPr>
        <w:t>funding.</w:t>
      </w:r>
    </w:p>
    <w:p w14:paraId="6E5E6F2A" w14:textId="77777777" w:rsidR="00F2194D" w:rsidRDefault="00F2194D" w:rsidP="00F2194D">
      <w:pPr>
        <w:pStyle w:val="ListParagraph"/>
        <w:numPr>
          <w:ilvl w:val="1"/>
          <w:numId w:val="15"/>
        </w:numPr>
        <w:rPr>
          <w:sz w:val="24"/>
          <w:szCs w:val="24"/>
        </w:rPr>
      </w:pPr>
      <w:r w:rsidRPr="62F1C6E2">
        <w:rPr>
          <w:sz w:val="24"/>
          <w:szCs w:val="24"/>
        </w:rPr>
        <w:t xml:space="preserve">Organisational readiness which includes available and adequate resources, ability to meet audit, </w:t>
      </w:r>
      <w:proofErr w:type="gramStart"/>
      <w:r w:rsidRPr="62F1C6E2">
        <w:rPr>
          <w:sz w:val="24"/>
          <w:szCs w:val="24"/>
        </w:rPr>
        <w:t>compliance</w:t>
      </w:r>
      <w:proofErr w:type="gramEnd"/>
      <w:r w:rsidRPr="62F1C6E2">
        <w:rPr>
          <w:sz w:val="24"/>
          <w:szCs w:val="24"/>
        </w:rPr>
        <w:t xml:space="preserve"> and reporting requirements. </w:t>
      </w:r>
    </w:p>
    <w:p w14:paraId="37DB8C7A" w14:textId="77777777" w:rsidR="00F2194D" w:rsidRDefault="00F2194D" w:rsidP="00F2194D">
      <w:pPr>
        <w:pStyle w:val="ListParagraph"/>
        <w:numPr>
          <w:ilvl w:val="1"/>
          <w:numId w:val="15"/>
        </w:numPr>
        <w:rPr>
          <w:sz w:val="24"/>
          <w:szCs w:val="24"/>
        </w:rPr>
      </w:pPr>
      <w:r w:rsidRPr="62F1C6E2">
        <w:rPr>
          <w:sz w:val="24"/>
          <w:szCs w:val="24"/>
        </w:rPr>
        <w:t xml:space="preserve">Demonstrable evidence of robust processes around finance, risk management and governance must be demonstrated. </w:t>
      </w:r>
    </w:p>
    <w:p w14:paraId="7CA905A6" w14:textId="77FC0B6C" w:rsidR="00F2194D" w:rsidRDefault="00F2194D" w:rsidP="00F2194D">
      <w:pPr>
        <w:pStyle w:val="ListParagraph"/>
        <w:numPr>
          <w:ilvl w:val="1"/>
          <w:numId w:val="15"/>
        </w:numPr>
        <w:rPr>
          <w:sz w:val="24"/>
          <w:szCs w:val="24"/>
        </w:rPr>
      </w:pPr>
      <w:r w:rsidRPr="7C06D870">
        <w:rPr>
          <w:sz w:val="24"/>
          <w:szCs w:val="24"/>
        </w:rPr>
        <w:t>Ability to deliver the following outputs</w:t>
      </w:r>
      <w:r w:rsidR="20B8CDFC" w:rsidRPr="7C06D870">
        <w:rPr>
          <w:sz w:val="24"/>
          <w:szCs w:val="24"/>
        </w:rPr>
        <w:t xml:space="preserve"> and outcomes</w:t>
      </w:r>
      <w:r w:rsidRPr="7C06D870">
        <w:rPr>
          <w:sz w:val="24"/>
          <w:szCs w:val="24"/>
        </w:rPr>
        <w:t>:</w:t>
      </w:r>
    </w:p>
    <w:p w14:paraId="7B4AAFA1" w14:textId="77777777" w:rsidR="00F2194D" w:rsidRDefault="00F2194D" w:rsidP="00F2194D">
      <w:pPr>
        <w:pStyle w:val="ListParagraph"/>
        <w:numPr>
          <w:ilvl w:val="0"/>
          <w:numId w:val="16"/>
        </w:numPr>
        <w:rPr>
          <w:sz w:val="24"/>
          <w:szCs w:val="24"/>
        </w:rPr>
      </w:pPr>
      <w:r w:rsidRPr="62F1C6E2">
        <w:rPr>
          <w:sz w:val="24"/>
          <w:szCs w:val="24"/>
        </w:rPr>
        <w:t>Support economically inactive people to engage with a key worker to access support services.</w:t>
      </w:r>
    </w:p>
    <w:p w14:paraId="7B40BD47" w14:textId="77777777" w:rsidR="00F2194D" w:rsidRDefault="00F2194D" w:rsidP="00F2194D">
      <w:pPr>
        <w:pStyle w:val="ListParagraph"/>
        <w:numPr>
          <w:ilvl w:val="0"/>
          <w:numId w:val="16"/>
        </w:numPr>
        <w:rPr>
          <w:sz w:val="24"/>
          <w:szCs w:val="24"/>
        </w:rPr>
      </w:pPr>
      <w:r w:rsidRPr="7C06D870">
        <w:rPr>
          <w:sz w:val="24"/>
          <w:szCs w:val="24"/>
        </w:rPr>
        <w:t>People are helped into employment (including self-employment)</w:t>
      </w:r>
    </w:p>
    <w:p w14:paraId="73739750" w14:textId="2BBDC869" w:rsidR="314C7700" w:rsidRDefault="314C7700" w:rsidP="23E7266A">
      <w:pPr>
        <w:pStyle w:val="ListParagraph"/>
        <w:numPr>
          <w:ilvl w:val="0"/>
          <w:numId w:val="16"/>
        </w:numPr>
        <w:rPr>
          <w:sz w:val="24"/>
          <w:szCs w:val="24"/>
        </w:rPr>
      </w:pPr>
      <w:r w:rsidRPr="7C06D870">
        <w:rPr>
          <w:sz w:val="24"/>
          <w:szCs w:val="24"/>
        </w:rPr>
        <w:t xml:space="preserve">People are in education or training, following </w:t>
      </w:r>
      <w:proofErr w:type="gramStart"/>
      <w:r w:rsidRPr="7C06D870">
        <w:rPr>
          <w:sz w:val="24"/>
          <w:szCs w:val="24"/>
        </w:rPr>
        <w:t>support</w:t>
      </w:r>
      <w:proofErr w:type="gramEnd"/>
    </w:p>
    <w:p w14:paraId="7DAA4E7E" w14:textId="77777777" w:rsidR="00F2194D" w:rsidRDefault="00F2194D" w:rsidP="00F2194D">
      <w:pPr>
        <w:rPr>
          <w:sz w:val="24"/>
          <w:szCs w:val="24"/>
        </w:rPr>
      </w:pPr>
      <w:r w:rsidRPr="62F1C6E2">
        <w:rPr>
          <w:sz w:val="24"/>
          <w:szCs w:val="24"/>
        </w:rPr>
        <w:t xml:space="preserve">We would expect evidence for the above to include: </w:t>
      </w:r>
    </w:p>
    <w:p w14:paraId="099221CD" w14:textId="77777777" w:rsidR="00F2194D" w:rsidRDefault="00F2194D" w:rsidP="00F2194D">
      <w:pPr>
        <w:pStyle w:val="ListParagraph"/>
        <w:numPr>
          <w:ilvl w:val="0"/>
          <w:numId w:val="18"/>
        </w:numPr>
        <w:rPr>
          <w:sz w:val="24"/>
          <w:szCs w:val="24"/>
        </w:rPr>
      </w:pPr>
      <w:r w:rsidRPr="62F1C6E2">
        <w:rPr>
          <w:sz w:val="24"/>
          <w:szCs w:val="24"/>
        </w:rPr>
        <w:t xml:space="preserve">Indicative credible milestones and timelines. </w:t>
      </w:r>
    </w:p>
    <w:p w14:paraId="462769D9" w14:textId="77777777" w:rsidR="00F2194D" w:rsidRDefault="00F2194D" w:rsidP="00F2194D">
      <w:pPr>
        <w:pStyle w:val="ListParagraph"/>
        <w:numPr>
          <w:ilvl w:val="0"/>
          <w:numId w:val="18"/>
        </w:numPr>
        <w:rPr>
          <w:sz w:val="24"/>
          <w:szCs w:val="24"/>
        </w:rPr>
      </w:pPr>
      <w:r w:rsidRPr="62F1C6E2">
        <w:rPr>
          <w:sz w:val="24"/>
          <w:szCs w:val="24"/>
        </w:rPr>
        <w:t>Resource plan submitted.</w:t>
      </w:r>
    </w:p>
    <w:p w14:paraId="71148265" w14:textId="0EFEDB8D" w:rsidR="00F2194D" w:rsidRDefault="1E3D5DF2" w:rsidP="00F2194D">
      <w:pPr>
        <w:pStyle w:val="ListParagraph"/>
        <w:numPr>
          <w:ilvl w:val="0"/>
          <w:numId w:val="18"/>
        </w:numPr>
        <w:rPr>
          <w:sz w:val="24"/>
          <w:szCs w:val="24"/>
        </w:rPr>
      </w:pPr>
      <w:r w:rsidRPr="5F395C2A">
        <w:rPr>
          <w:sz w:val="24"/>
          <w:szCs w:val="24"/>
        </w:rPr>
        <w:t>R</w:t>
      </w:r>
      <w:r w:rsidR="19E20586" w:rsidRPr="5F395C2A">
        <w:rPr>
          <w:sz w:val="24"/>
          <w:szCs w:val="24"/>
        </w:rPr>
        <w:t>egularly reviewed and updated R</w:t>
      </w:r>
      <w:r w:rsidRPr="5F395C2A">
        <w:rPr>
          <w:sz w:val="24"/>
          <w:szCs w:val="24"/>
        </w:rPr>
        <w:t>isk Register outlining the main risks associated with the project and proposed mitigations.</w:t>
      </w:r>
    </w:p>
    <w:p w14:paraId="3ADB515B" w14:textId="77777777" w:rsidR="00F2194D" w:rsidRPr="00231714" w:rsidRDefault="00F2194D" w:rsidP="00F2194D">
      <w:pPr>
        <w:pStyle w:val="ListParagraph"/>
        <w:numPr>
          <w:ilvl w:val="0"/>
          <w:numId w:val="18"/>
        </w:numPr>
        <w:rPr>
          <w:sz w:val="24"/>
          <w:szCs w:val="24"/>
        </w:rPr>
      </w:pPr>
      <w:r w:rsidRPr="62F1C6E2">
        <w:rPr>
          <w:sz w:val="24"/>
          <w:szCs w:val="24"/>
        </w:rPr>
        <w:t>Case studies or other evidence that demonstrates a track record of delivery of similar projects.</w:t>
      </w:r>
    </w:p>
    <w:p w14:paraId="0ACCE2DC" w14:textId="77777777" w:rsidR="00F2194D" w:rsidRDefault="00F2194D" w:rsidP="00F2194D">
      <w:pPr>
        <w:rPr>
          <w:sz w:val="24"/>
          <w:szCs w:val="24"/>
        </w:rPr>
      </w:pPr>
      <w:r w:rsidRPr="62F1C6E2">
        <w:rPr>
          <w:sz w:val="24"/>
          <w:szCs w:val="24"/>
        </w:rPr>
        <w:t>As noted above, bids must also demonstrate an ability to meet a geographical spread of delivery as outlined below:</w:t>
      </w:r>
    </w:p>
    <w:tbl>
      <w:tblPr>
        <w:tblStyle w:val="TableGrid"/>
        <w:tblW w:w="3397" w:type="dxa"/>
        <w:tblLook w:val="04A0" w:firstRow="1" w:lastRow="0" w:firstColumn="1" w:lastColumn="0" w:noHBand="0" w:noVBand="1"/>
      </w:tblPr>
      <w:tblGrid>
        <w:gridCol w:w="2220"/>
        <w:gridCol w:w="1177"/>
      </w:tblGrid>
      <w:tr w:rsidR="00F2194D" w14:paraId="7D760A1B" w14:textId="77777777" w:rsidTr="74336325">
        <w:trPr>
          <w:trHeight w:val="300"/>
        </w:trPr>
        <w:tc>
          <w:tcPr>
            <w:tcW w:w="2220" w:type="dxa"/>
          </w:tcPr>
          <w:p w14:paraId="7127BA61" w14:textId="77777777" w:rsidR="00F2194D" w:rsidRDefault="00F2194D" w:rsidP="00AA7EC7">
            <w:pPr>
              <w:jc w:val="both"/>
              <w:rPr>
                <w:rFonts w:ascii="Arial" w:hAnsi="Arial" w:cs="Arial"/>
              </w:rPr>
            </w:pPr>
          </w:p>
        </w:tc>
        <w:tc>
          <w:tcPr>
            <w:tcW w:w="1177" w:type="dxa"/>
            <w:vAlign w:val="bottom"/>
          </w:tcPr>
          <w:p w14:paraId="1C261EBD" w14:textId="77777777" w:rsidR="00F2194D" w:rsidRDefault="00F2194D" w:rsidP="00AA7EC7">
            <w:pPr>
              <w:jc w:val="both"/>
              <w:rPr>
                <w:rFonts w:ascii="Arial" w:hAnsi="Arial" w:cs="Arial"/>
              </w:rPr>
            </w:pPr>
            <w:r w:rsidRPr="09089195">
              <w:rPr>
                <w:rFonts w:ascii="Avenir Next LT Pro" w:hAnsi="Avenir Next LT Pro"/>
                <w:color w:val="000000" w:themeColor="text1"/>
                <w:lang w:eastAsia="en-GB"/>
              </w:rPr>
              <w:t>%</w:t>
            </w:r>
          </w:p>
        </w:tc>
      </w:tr>
      <w:tr w:rsidR="00F2194D" w14:paraId="56124121" w14:textId="77777777" w:rsidTr="74336325">
        <w:trPr>
          <w:trHeight w:val="300"/>
        </w:trPr>
        <w:tc>
          <w:tcPr>
            <w:tcW w:w="2220" w:type="dxa"/>
          </w:tcPr>
          <w:p w14:paraId="346E98A8" w14:textId="3598BBFD" w:rsidR="00F2194D" w:rsidRDefault="00F2194D" w:rsidP="74336325">
            <w:pPr>
              <w:jc w:val="both"/>
              <w:rPr>
                <w:rFonts w:eastAsiaTheme="minorEastAsia"/>
              </w:rPr>
            </w:pPr>
            <w:r w:rsidRPr="74336325">
              <w:rPr>
                <w:rFonts w:eastAsiaTheme="minorEastAsia"/>
              </w:rPr>
              <w:t>L</w:t>
            </w:r>
            <w:r w:rsidR="60EC922F" w:rsidRPr="74336325">
              <w:rPr>
                <w:rFonts w:eastAsiaTheme="minorEastAsia"/>
              </w:rPr>
              <w:t>iverpool City Region</w:t>
            </w:r>
          </w:p>
        </w:tc>
        <w:tc>
          <w:tcPr>
            <w:tcW w:w="1177" w:type="dxa"/>
            <w:vAlign w:val="bottom"/>
          </w:tcPr>
          <w:p w14:paraId="11E33FC6" w14:textId="77777777" w:rsidR="00F2194D" w:rsidRDefault="00F2194D" w:rsidP="00AA7EC7">
            <w:pPr>
              <w:jc w:val="both"/>
              <w:rPr>
                <w:rFonts w:eastAsiaTheme="minorEastAsia"/>
                <w:color w:val="000000"/>
                <w:lang w:eastAsia="en-GB"/>
              </w:rPr>
            </w:pPr>
            <w:r w:rsidRPr="62F1C6E2">
              <w:rPr>
                <w:rFonts w:eastAsiaTheme="minorEastAsia"/>
                <w:color w:val="000000" w:themeColor="text1"/>
                <w:lang w:eastAsia="en-GB"/>
              </w:rPr>
              <w:t>100%</w:t>
            </w:r>
          </w:p>
        </w:tc>
      </w:tr>
      <w:tr w:rsidR="00F2194D" w14:paraId="2C107430" w14:textId="77777777" w:rsidTr="74336325">
        <w:trPr>
          <w:trHeight w:val="300"/>
        </w:trPr>
        <w:tc>
          <w:tcPr>
            <w:tcW w:w="2220" w:type="dxa"/>
          </w:tcPr>
          <w:p w14:paraId="155983A8" w14:textId="77777777" w:rsidR="00F2194D" w:rsidRDefault="00F2194D" w:rsidP="00AA7EC7">
            <w:pPr>
              <w:jc w:val="both"/>
              <w:rPr>
                <w:rFonts w:ascii="Arial" w:hAnsi="Arial" w:cs="Arial"/>
              </w:rPr>
            </w:pPr>
            <w:r w:rsidRPr="09089195">
              <w:rPr>
                <w:rFonts w:ascii="Arial" w:hAnsi="Arial" w:cs="Arial"/>
              </w:rPr>
              <w:t>Halton</w:t>
            </w:r>
          </w:p>
        </w:tc>
        <w:tc>
          <w:tcPr>
            <w:tcW w:w="1177" w:type="dxa"/>
            <w:vAlign w:val="bottom"/>
          </w:tcPr>
          <w:p w14:paraId="261C7064"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7.87%</w:t>
            </w:r>
          </w:p>
        </w:tc>
      </w:tr>
      <w:tr w:rsidR="00F2194D" w14:paraId="1D3741C7" w14:textId="77777777" w:rsidTr="74336325">
        <w:trPr>
          <w:trHeight w:val="300"/>
        </w:trPr>
        <w:tc>
          <w:tcPr>
            <w:tcW w:w="2220" w:type="dxa"/>
          </w:tcPr>
          <w:p w14:paraId="0E461056" w14:textId="77777777" w:rsidR="00F2194D" w:rsidRDefault="00F2194D" w:rsidP="00AA7EC7">
            <w:pPr>
              <w:jc w:val="both"/>
              <w:rPr>
                <w:rFonts w:ascii="Arial" w:hAnsi="Arial" w:cs="Arial"/>
              </w:rPr>
            </w:pPr>
            <w:r w:rsidRPr="09089195">
              <w:rPr>
                <w:rFonts w:ascii="Arial" w:hAnsi="Arial" w:cs="Arial"/>
              </w:rPr>
              <w:t>Knowsley</w:t>
            </w:r>
          </w:p>
        </w:tc>
        <w:tc>
          <w:tcPr>
            <w:tcW w:w="1177" w:type="dxa"/>
            <w:vAlign w:val="bottom"/>
          </w:tcPr>
          <w:p w14:paraId="30ED5DE1"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10.14%</w:t>
            </w:r>
          </w:p>
        </w:tc>
      </w:tr>
      <w:tr w:rsidR="00F2194D" w14:paraId="7B55ED86" w14:textId="77777777" w:rsidTr="74336325">
        <w:trPr>
          <w:trHeight w:val="300"/>
        </w:trPr>
        <w:tc>
          <w:tcPr>
            <w:tcW w:w="2220" w:type="dxa"/>
          </w:tcPr>
          <w:p w14:paraId="6BE33C3E" w14:textId="77777777" w:rsidR="00F2194D" w:rsidRDefault="00F2194D" w:rsidP="00AA7EC7">
            <w:pPr>
              <w:jc w:val="both"/>
              <w:rPr>
                <w:rFonts w:ascii="Arial" w:hAnsi="Arial" w:cs="Arial"/>
              </w:rPr>
            </w:pPr>
            <w:r w:rsidRPr="09089195">
              <w:rPr>
                <w:rFonts w:ascii="Arial" w:hAnsi="Arial" w:cs="Arial"/>
              </w:rPr>
              <w:t>Liverpool</w:t>
            </w:r>
          </w:p>
        </w:tc>
        <w:tc>
          <w:tcPr>
            <w:tcW w:w="1177" w:type="dxa"/>
            <w:vAlign w:val="bottom"/>
          </w:tcPr>
          <w:p w14:paraId="078B0545"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33.17%</w:t>
            </w:r>
          </w:p>
        </w:tc>
      </w:tr>
      <w:tr w:rsidR="00F2194D" w14:paraId="61810DB8" w14:textId="77777777" w:rsidTr="74336325">
        <w:trPr>
          <w:trHeight w:val="300"/>
        </w:trPr>
        <w:tc>
          <w:tcPr>
            <w:tcW w:w="2220" w:type="dxa"/>
          </w:tcPr>
          <w:p w14:paraId="2A861622" w14:textId="77777777" w:rsidR="00F2194D" w:rsidRDefault="00F2194D" w:rsidP="00AA7EC7">
            <w:pPr>
              <w:jc w:val="both"/>
              <w:rPr>
                <w:rFonts w:ascii="Arial" w:hAnsi="Arial" w:cs="Arial"/>
              </w:rPr>
            </w:pPr>
            <w:r w:rsidRPr="09089195">
              <w:rPr>
                <w:rFonts w:ascii="Arial" w:hAnsi="Arial" w:cs="Arial"/>
              </w:rPr>
              <w:t>Sefton</w:t>
            </w:r>
          </w:p>
        </w:tc>
        <w:tc>
          <w:tcPr>
            <w:tcW w:w="1177" w:type="dxa"/>
            <w:vAlign w:val="bottom"/>
          </w:tcPr>
          <w:p w14:paraId="750BD1EB"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16.79%</w:t>
            </w:r>
          </w:p>
        </w:tc>
      </w:tr>
      <w:tr w:rsidR="00F2194D" w14:paraId="1A101069" w14:textId="77777777" w:rsidTr="74336325">
        <w:trPr>
          <w:trHeight w:val="300"/>
        </w:trPr>
        <w:tc>
          <w:tcPr>
            <w:tcW w:w="2220" w:type="dxa"/>
          </w:tcPr>
          <w:p w14:paraId="2EF834AB" w14:textId="77777777" w:rsidR="00F2194D" w:rsidRDefault="00F2194D" w:rsidP="00AA7EC7">
            <w:pPr>
              <w:jc w:val="both"/>
              <w:rPr>
                <w:rFonts w:ascii="Arial" w:hAnsi="Arial" w:cs="Arial"/>
              </w:rPr>
            </w:pPr>
            <w:r w:rsidRPr="09089195">
              <w:rPr>
                <w:rFonts w:ascii="Arial" w:hAnsi="Arial" w:cs="Arial"/>
              </w:rPr>
              <w:t>St Helens</w:t>
            </w:r>
          </w:p>
        </w:tc>
        <w:tc>
          <w:tcPr>
            <w:tcW w:w="1177" w:type="dxa"/>
            <w:vAlign w:val="bottom"/>
          </w:tcPr>
          <w:p w14:paraId="03096263"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12.19%</w:t>
            </w:r>
          </w:p>
        </w:tc>
      </w:tr>
      <w:tr w:rsidR="00F2194D" w14:paraId="340C19C1" w14:textId="77777777" w:rsidTr="74336325">
        <w:trPr>
          <w:trHeight w:val="300"/>
        </w:trPr>
        <w:tc>
          <w:tcPr>
            <w:tcW w:w="2220" w:type="dxa"/>
          </w:tcPr>
          <w:p w14:paraId="75525892" w14:textId="77777777" w:rsidR="00F2194D" w:rsidRDefault="00F2194D" w:rsidP="00AA7EC7">
            <w:pPr>
              <w:jc w:val="both"/>
              <w:rPr>
                <w:rFonts w:ascii="Arial" w:hAnsi="Arial" w:cs="Arial"/>
              </w:rPr>
            </w:pPr>
            <w:r w:rsidRPr="09089195">
              <w:rPr>
                <w:rFonts w:ascii="Arial" w:hAnsi="Arial" w:cs="Arial"/>
              </w:rPr>
              <w:t>Wirral</w:t>
            </w:r>
          </w:p>
        </w:tc>
        <w:tc>
          <w:tcPr>
            <w:tcW w:w="1177" w:type="dxa"/>
            <w:vAlign w:val="bottom"/>
          </w:tcPr>
          <w:p w14:paraId="731CD45E" w14:textId="77777777" w:rsidR="00F2194D" w:rsidRDefault="00F2194D" w:rsidP="00AA7EC7">
            <w:pPr>
              <w:rPr>
                <w:rFonts w:ascii="Calibri" w:eastAsia="Calibri" w:hAnsi="Calibri" w:cs="Calibri"/>
                <w:color w:val="000000" w:themeColor="text1"/>
              </w:rPr>
            </w:pPr>
            <w:r w:rsidRPr="0551C38F">
              <w:rPr>
                <w:rFonts w:ascii="Calibri" w:eastAsia="Calibri" w:hAnsi="Calibri" w:cs="Calibri"/>
                <w:color w:val="000000" w:themeColor="text1"/>
              </w:rPr>
              <w:t>19.84%</w:t>
            </w:r>
          </w:p>
        </w:tc>
      </w:tr>
    </w:tbl>
    <w:p w14:paraId="4F44C17A" w14:textId="77777777" w:rsidR="00F2194D" w:rsidRPr="00E90EBD" w:rsidRDefault="00F2194D" w:rsidP="00F2194D">
      <w:pPr>
        <w:rPr>
          <w:sz w:val="24"/>
          <w:szCs w:val="24"/>
        </w:rPr>
      </w:pPr>
    </w:p>
    <w:p w14:paraId="1BBF4049" w14:textId="7DB9534F" w:rsidR="00F2194D" w:rsidRPr="00AD3B11" w:rsidRDefault="00F2194D" w:rsidP="00F2194D">
      <w:pPr>
        <w:pStyle w:val="ListParagraph"/>
        <w:numPr>
          <w:ilvl w:val="0"/>
          <w:numId w:val="15"/>
        </w:numPr>
        <w:rPr>
          <w:sz w:val="24"/>
          <w:szCs w:val="24"/>
        </w:rPr>
      </w:pPr>
      <w:r w:rsidRPr="7C06D870">
        <w:rPr>
          <w:b/>
          <w:bCs/>
          <w:sz w:val="24"/>
          <w:szCs w:val="24"/>
        </w:rPr>
        <w:lastRenderedPageBreak/>
        <w:t xml:space="preserve">Strategic Alignment – </w:t>
      </w:r>
      <w:r w:rsidRPr="7C06D870">
        <w:rPr>
          <w:sz w:val="24"/>
          <w:szCs w:val="24"/>
        </w:rPr>
        <w:t>able to demonstrate project meets the needs outlined in the call documents and provide support for economically inactive people to access support services and, ultimately, employment. Bids must evidence that outcomes are fit for purpose and the proposal elicits the right outcomes and a demonstrable ability to track and secure impact. Alignment with local and national funding priorities are identifiable and notable. There must be explicitly stated and clear evidence that the project complements and aligns with ongoing work such as the</w:t>
      </w:r>
      <w:r w:rsidR="79365914" w:rsidRPr="7C06D870">
        <w:rPr>
          <w:sz w:val="24"/>
          <w:szCs w:val="24"/>
        </w:rPr>
        <w:t xml:space="preserve"> Liverpool City Region</w:t>
      </w:r>
      <w:r w:rsidRPr="7C06D870">
        <w:rPr>
          <w:sz w:val="24"/>
          <w:szCs w:val="24"/>
        </w:rPr>
        <w:t xml:space="preserve"> Ways to Work programme (and others) and does not duplicate existing provision. Bids must outline how the project will build relationships with existing support provision. Outputs, </w:t>
      </w:r>
      <w:proofErr w:type="gramStart"/>
      <w:r w:rsidRPr="7C06D870">
        <w:rPr>
          <w:sz w:val="24"/>
          <w:szCs w:val="24"/>
        </w:rPr>
        <w:t>outcomes</w:t>
      </w:r>
      <w:proofErr w:type="gramEnd"/>
      <w:r w:rsidRPr="7C06D870">
        <w:rPr>
          <w:sz w:val="24"/>
          <w:szCs w:val="24"/>
        </w:rPr>
        <w:t xml:space="preserve"> and impact are noted in a logic model.</w:t>
      </w:r>
      <w:r w:rsidR="005A2427" w:rsidRPr="7C06D870">
        <w:rPr>
          <w:sz w:val="24"/>
          <w:szCs w:val="24"/>
        </w:rPr>
        <w:t xml:space="preserve"> Proposals must demonstrate how the organisations named in the bid will contribute to the Community Wealth Building ambitions of Liverpool City Region as set out in the Plan for Prosperity.</w:t>
      </w:r>
      <w:r w:rsidR="002A693B" w:rsidRPr="7C06D870">
        <w:rPr>
          <w:sz w:val="24"/>
          <w:szCs w:val="24"/>
        </w:rPr>
        <w:t xml:space="preserve"> For more information, please see LCRCA’s Plan for Prosperity: </w:t>
      </w:r>
      <w:hyperlink r:id="rId11" w:history="1">
        <w:r w:rsidR="002A693B" w:rsidRPr="7C06D870">
          <w:rPr>
            <w:rStyle w:val="Hyperlink"/>
          </w:rPr>
          <w:t>Plan for Prosperity | Liverpool City Region Combined Authority (liverpoolcityregion-ca.gov.uk)</w:t>
        </w:r>
      </w:hyperlink>
    </w:p>
    <w:p w14:paraId="1311F7A1" w14:textId="162B2F6B" w:rsidR="00F2194D" w:rsidRPr="00BF3FEF" w:rsidRDefault="00F2194D" w:rsidP="00F2194D">
      <w:pPr>
        <w:pStyle w:val="ListParagraph"/>
        <w:numPr>
          <w:ilvl w:val="0"/>
          <w:numId w:val="15"/>
        </w:numPr>
        <w:rPr>
          <w:sz w:val="24"/>
          <w:szCs w:val="24"/>
        </w:rPr>
      </w:pPr>
      <w:r w:rsidRPr="4FBA08D4">
        <w:rPr>
          <w:b/>
          <w:bCs/>
          <w:sz w:val="24"/>
          <w:szCs w:val="24"/>
        </w:rPr>
        <w:t xml:space="preserve">Finance – </w:t>
      </w:r>
      <w:r w:rsidRPr="4FBA08D4">
        <w:rPr>
          <w:sz w:val="24"/>
          <w:szCs w:val="24"/>
        </w:rPr>
        <w:t xml:space="preserve">Need for funding clearly articulated. Evidence of match funding demonstrated (if relevant). </w:t>
      </w:r>
      <w:r w:rsidR="00565D1C" w:rsidRPr="4FBA08D4">
        <w:rPr>
          <w:sz w:val="24"/>
          <w:szCs w:val="24"/>
        </w:rPr>
        <w:t>Realistic and robust budget</w:t>
      </w:r>
      <w:r w:rsidRPr="4FBA08D4">
        <w:rPr>
          <w:sz w:val="24"/>
          <w:szCs w:val="24"/>
        </w:rPr>
        <w:t xml:space="preserve"> and spend profile submitted as part of application.</w:t>
      </w:r>
    </w:p>
    <w:p w14:paraId="33559D6D" w14:textId="77777777" w:rsidR="00F2194D" w:rsidRPr="001C04C2" w:rsidRDefault="00F2194D" w:rsidP="00F2194D">
      <w:pPr>
        <w:pStyle w:val="ListParagraph"/>
        <w:numPr>
          <w:ilvl w:val="0"/>
          <w:numId w:val="15"/>
        </w:numPr>
        <w:rPr>
          <w:sz w:val="24"/>
          <w:szCs w:val="24"/>
        </w:rPr>
      </w:pPr>
      <w:r w:rsidRPr="62F1C6E2">
        <w:rPr>
          <w:b/>
          <w:bCs/>
          <w:sz w:val="24"/>
          <w:szCs w:val="24"/>
        </w:rPr>
        <w:t xml:space="preserve"> Value for Money</w:t>
      </w:r>
      <w:r w:rsidRPr="62F1C6E2">
        <w:rPr>
          <w:sz w:val="24"/>
          <w:szCs w:val="24"/>
        </w:rPr>
        <w:t xml:space="preserve"> – Value for money and good value demonstrated in </w:t>
      </w:r>
      <w:r w:rsidRPr="1BECDBE4">
        <w:rPr>
          <w:sz w:val="24"/>
          <w:szCs w:val="24"/>
        </w:rPr>
        <w:t>relation to the outputs expected to be met in relation to the overall project costs and public funding contribution.</w:t>
      </w:r>
    </w:p>
    <w:p w14:paraId="76853270" w14:textId="40293DC6" w:rsidR="00F2194D" w:rsidRDefault="00F2194D" w:rsidP="00F2194D">
      <w:pPr>
        <w:pStyle w:val="ListParagraph"/>
        <w:numPr>
          <w:ilvl w:val="0"/>
          <w:numId w:val="15"/>
        </w:numPr>
        <w:rPr>
          <w:sz w:val="24"/>
          <w:szCs w:val="24"/>
        </w:rPr>
      </w:pPr>
      <w:r w:rsidRPr="7C06D870">
        <w:rPr>
          <w:b/>
          <w:bCs/>
          <w:sz w:val="24"/>
          <w:szCs w:val="24"/>
        </w:rPr>
        <w:t xml:space="preserve">Commitment to Social Value – </w:t>
      </w:r>
      <w:r w:rsidRPr="7C06D870">
        <w:rPr>
          <w:sz w:val="24"/>
          <w:szCs w:val="24"/>
        </w:rPr>
        <w:t>proposal outlines how organisations named in the bid demonstrate a commitment to social value and highlights specific social value outcomes and additionality to be delivered with evidence submitted. Proposals should outline how organisations named in the bid and the proposal itself aligns with LCRCA’s Fair Employment Charter (or, similar comparable charters)</w:t>
      </w:r>
      <w:r w:rsidR="007F5DCB" w:rsidRPr="7C06D870">
        <w:rPr>
          <w:sz w:val="24"/>
          <w:szCs w:val="24"/>
        </w:rPr>
        <w:t>. For more information, please see LCRCA’s Fair Employment Charter:</w:t>
      </w:r>
      <w:r w:rsidR="027B6BD4" w:rsidRPr="7C06D870">
        <w:rPr>
          <w:sz w:val="24"/>
          <w:szCs w:val="24"/>
        </w:rPr>
        <w:t xml:space="preserve"> </w:t>
      </w:r>
      <w:hyperlink r:id="rId12" w:history="1">
        <w:r w:rsidR="027B6BD4" w:rsidRPr="7C06D870">
          <w:rPr>
            <w:rStyle w:val="Hyperlink"/>
          </w:rPr>
          <w:t>Fair Employment Charter | Liverpool City Region Combined Authority (liverpoolcityregion-ca.gov.uk)</w:t>
        </w:r>
      </w:hyperlink>
      <w:r w:rsidR="007F5DCB" w:rsidRPr="7C06D870">
        <w:rPr>
          <w:sz w:val="24"/>
          <w:szCs w:val="24"/>
        </w:rPr>
        <w:t xml:space="preserve"> </w:t>
      </w:r>
    </w:p>
    <w:p w14:paraId="6EECFCB4" w14:textId="77777777" w:rsidR="00F2194D" w:rsidRDefault="00F2194D" w:rsidP="00F2194D">
      <w:pPr>
        <w:pStyle w:val="ListParagraph"/>
        <w:rPr>
          <w:b/>
          <w:bCs/>
          <w:sz w:val="24"/>
          <w:szCs w:val="24"/>
        </w:rPr>
      </w:pPr>
    </w:p>
    <w:p w14:paraId="14A775B6" w14:textId="77777777" w:rsidR="00F2194D" w:rsidRDefault="00F2194D" w:rsidP="00F2194D">
      <w:pPr>
        <w:pStyle w:val="ListParagraph"/>
        <w:rPr>
          <w:sz w:val="24"/>
          <w:szCs w:val="24"/>
        </w:rPr>
      </w:pPr>
      <w:r>
        <w:rPr>
          <w:sz w:val="24"/>
          <w:szCs w:val="24"/>
        </w:rPr>
        <w:t>We would expect evidence for this to include:</w:t>
      </w:r>
    </w:p>
    <w:p w14:paraId="775B8561" w14:textId="26F22E28" w:rsidR="00F2194D" w:rsidRDefault="00F2194D" w:rsidP="00F2194D">
      <w:pPr>
        <w:pStyle w:val="ListParagraph"/>
        <w:numPr>
          <w:ilvl w:val="0"/>
          <w:numId w:val="21"/>
        </w:numPr>
        <w:rPr>
          <w:sz w:val="24"/>
          <w:szCs w:val="24"/>
        </w:rPr>
      </w:pPr>
      <w:r>
        <w:rPr>
          <w:sz w:val="24"/>
          <w:szCs w:val="24"/>
        </w:rPr>
        <w:t>Confirmation that organisations named in the bid pay, or are committed to paying</w:t>
      </w:r>
      <w:r w:rsidR="00D15403">
        <w:rPr>
          <w:sz w:val="24"/>
          <w:szCs w:val="24"/>
        </w:rPr>
        <w:t>,</w:t>
      </w:r>
      <w:r>
        <w:rPr>
          <w:sz w:val="24"/>
          <w:szCs w:val="24"/>
        </w:rPr>
        <w:t xml:space="preserve"> staff the Real Living Wage by the end of the </w:t>
      </w:r>
      <w:r w:rsidR="00D15403">
        <w:rPr>
          <w:sz w:val="24"/>
          <w:szCs w:val="24"/>
        </w:rPr>
        <w:t>project.</w:t>
      </w:r>
    </w:p>
    <w:p w14:paraId="434375A3" w14:textId="6DE40E20" w:rsidR="00F2194D" w:rsidRDefault="00F2194D" w:rsidP="7C06D870">
      <w:pPr>
        <w:pStyle w:val="ListParagraph"/>
        <w:numPr>
          <w:ilvl w:val="0"/>
          <w:numId w:val="21"/>
        </w:numPr>
        <w:rPr>
          <w:sz w:val="24"/>
          <w:szCs w:val="24"/>
        </w:rPr>
      </w:pPr>
      <w:r w:rsidRPr="7C06D870">
        <w:rPr>
          <w:sz w:val="24"/>
          <w:szCs w:val="24"/>
        </w:rPr>
        <w:t>Membership of the Fair Employment Charter, alignment to the values outlined in the Charter or a demonstrable intention to join the Charter (or similar, comparable charters).</w:t>
      </w:r>
    </w:p>
    <w:p w14:paraId="50463F66" w14:textId="1E01F76F" w:rsidR="00F2194D" w:rsidRDefault="00F2194D" w:rsidP="23E7266A">
      <w:pPr>
        <w:pStyle w:val="ListParagraph"/>
        <w:numPr>
          <w:ilvl w:val="0"/>
          <w:numId w:val="15"/>
        </w:numPr>
      </w:pPr>
      <w:r w:rsidRPr="7C06D870">
        <w:rPr>
          <w:b/>
          <w:bCs/>
          <w:sz w:val="24"/>
          <w:szCs w:val="24"/>
        </w:rPr>
        <w:t>Commitment to Net Zero</w:t>
      </w:r>
      <w:r w:rsidRPr="7C06D870">
        <w:rPr>
          <w:sz w:val="24"/>
          <w:szCs w:val="24"/>
        </w:rPr>
        <w:t xml:space="preserve"> - proposal outlines how organisations named in the bid demonstrate a commitment to net zero and highlights specific actions taken at a project or organisational level to intend to minimise the environmental impact of the project with evidence submitted. For more information, please see </w:t>
      </w:r>
      <w:r w:rsidR="007F5DCB" w:rsidRPr="7C06D870">
        <w:rPr>
          <w:sz w:val="24"/>
          <w:szCs w:val="24"/>
        </w:rPr>
        <w:t xml:space="preserve">LCRCA’s 5 Year Climate Action Plan: </w:t>
      </w:r>
      <w:r w:rsidR="339577F5">
        <w:t xml:space="preserve"> </w:t>
      </w:r>
      <w:hyperlink r:id="rId13" w:history="1">
        <w:r w:rsidR="339577F5" w:rsidRPr="7C06D870">
          <w:rPr>
            <w:rStyle w:val="Hyperlink"/>
            <w:rFonts w:ascii="Avenir Next LT Pro" w:eastAsia="Avenir Next LT Pro" w:hAnsi="Avenir Next LT Pro" w:cs="Avenir Next LT Pro"/>
          </w:rPr>
          <w:t>https://api.liverpoolcityregion-ca.gov.uk/wp-content/uploads/2023/10/LCRCA-Five-Year-Climate-Action-Plan-2023-2028-Digital.pdf</w:t>
        </w:r>
        <w:r>
          <w:tab/>
        </w:r>
      </w:hyperlink>
    </w:p>
    <w:p w14:paraId="565C85B5" w14:textId="77777777" w:rsidR="00F2194D" w:rsidRDefault="00F2194D" w:rsidP="00F2194D">
      <w:pPr>
        <w:pStyle w:val="ListParagraph"/>
        <w:numPr>
          <w:ilvl w:val="0"/>
          <w:numId w:val="15"/>
        </w:numPr>
        <w:rPr>
          <w:sz w:val="24"/>
          <w:szCs w:val="24"/>
        </w:rPr>
      </w:pPr>
      <w:r w:rsidRPr="7C06D870">
        <w:rPr>
          <w:b/>
          <w:bCs/>
          <w:sz w:val="24"/>
          <w:szCs w:val="24"/>
        </w:rPr>
        <w:t xml:space="preserve">Commitment to Equality, </w:t>
      </w:r>
      <w:proofErr w:type="gramStart"/>
      <w:r w:rsidRPr="7C06D870">
        <w:rPr>
          <w:b/>
          <w:bCs/>
          <w:sz w:val="24"/>
          <w:szCs w:val="24"/>
        </w:rPr>
        <w:t>Diversity</w:t>
      </w:r>
      <w:proofErr w:type="gramEnd"/>
      <w:r w:rsidRPr="7C06D870">
        <w:rPr>
          <w:b/>
          <w:bCs/>
          <w:sz w:val="24"/>
          <w:szCs w:val="24"/>
        </w:rPr>
        <w:t xml:space="preserve"> and Inclusion</w:t>
      </w:r>
      <w:r w:rsidRPr="7C06D870">
        <w:rPr>
          <w:sz w:val="24"/>
          <w:szCs w:val="24"/>
        </w:rPr>
        <w:t xml:space="preserve"> – proposal demonstrates an understanding of the impact of project on those with protected characteristics. </w:t>
      </w:r>
      <w:r w:rsidRPr="7C06D870">
        <w:rPr>
          <w:sz w:val="24"/>
          <w:szCs w:val="24"/>
        </w:rPr>
        <w:lastRenderedPageBreak/>
        <w:t xml:space="preserve">Impacts are noted, </w:t>
      </w:r>
      <w:proofErr w:type="gramStart"/>
      <w:r w:rsidRPr="7C06D870">
        <w:rPr>
          <w:sz w:val="24"/>
          <w:szCs w:val="24"/>
        </w:rPr>
        <w:t>logged</w:t>
      </w:r>
      <w:proofErr w:type="gramEnd"/>
      <w:r w:rsidRPr="7C06D870">
        <w:rPr>
          <w:sz w:val="24"/>
          <w:szCs w:val="24"/>
        </w:rPr>
        <w:t xml:space="preserve"> and mitigated (if appropriate) in a completed Equality Impact Assessment as evidence. </w:t>
      </w:r>
    </w:p>
    <w:p w14:paraId="168002F6" w14:textId="77777777" w:rsidR="00F2194D" w:rsidRDefault="00F2194D" w:rsidP="00F33B86">
      <w:pPr>
        <w:rPr>
          <w:rStyle w:val="normaltextrun"/>
          <w:rFonts w:ascii="Calibri" w:hAnsi="Calibri" w:cs="Calibri"/>
          <w:color w:val="000000"/>
          <w:shd w:val="clear" w:color="auto" w:fill="FFFFFF"/>
        </w:rPr>
      </w:pPr>
    </w:p>
    <w:p w14:paraId="4049C8F1" w14:textId="77777777" w:rsidR="002A37A0" w:rsidRPr="00C61F5B" w:rsidRDefault="002A37A0" w:rsidP="002A37A0">
      <w:pPr>
        <w:pStyle w:val="ListParagraph"/>
        <w:rPr>
          <w:sz w:val="24"/>
          <w:szCs w:val="24"/>
        </w:rPr>
      </w:pPr>
    </w:p>
    <w:p w14:paraId="279A577D" w14:textId="1D568CD1" w:rsidR="003425C0" w:rsidRPr="003D105A" w:rsidRDefault="003425C0" w:rsidP="7C06D870">
      <w:pPr>
        <w:spacing w:after="0"/>
        <w:rPr>
          <w:rStyle w:val="normaltextrun"/>
          <w:rFonts w:ascii="Calibri" w:hAnsi="Calibri" w:cs="Calibri"/>
          <w:color w:val="000000"/>
          <w:shd w:val="clear" w:color="auto" w:fill="FFFFFF"/>
        </w:rPr>
      </w:pPr>
      <w:r w:rsidRPr="005F4AC3">
        <w:rPr>
          <w:rFonts w:ascii="Calibri" w:hAnsi="Calibri" w:cs="Calibri"/>
          <w:color w:val="000000"/>
          <w:sz w:val="20"/>
          <w:szCs w:val="20"/>
          <w:highlight w:val="yellow"/>
          <w:shd w:val="clear" w:color="auto" w:fill="FFFFFF"/>
        </w:rPr>
        <w:br/>
      </w:r>
      <w:r w:rsidR="00892DFE" w:rsidRPr="005F4AC3">
        <w:rPr>
          <w:rStyle w:val="normaltextrun"/>
          <w:rFonts w:ascii="Calibri" w:hAnsi="Calibri" w:cs="Calibri"/>
          <w:color w:val="000000"/>
          <w:shd w:val="clear" w:color="auto" w:fill="FFFFFF"/>
        </w:rPr>
        <w:t>Information submitted</w:t>
      </w:r>
      <w:r w:rsidR="00E46AC1" w:rsidRPr="005F4AC3">
        <w:rPr>
          <w:rStyle w:val="normaltextrun"/>
          <w:rFonts w:ascii="Calibri" w:hAnsi="Calibri" w:cs="Calibri"/>
          <w:color w:val="000000"/>
          <w:shd w:val="clear" w:color="auto" w:fill="FFFFFF"/>
        </w:rPr>
        <w:t xml:space="preserve"> on the lead applicant will be used to do due diligence checks</w:t>
      </w:r>
      <w:r w:rsidR="00DF632B" w:rsidRPr="005F4AC3">
        <w:rPr>
          <w:rStyle w:val="normaltextrun"/>
          <w:rFonts w:ascii="Calibri" w:hAnsi="Calibri" w:cs="Calibri"/>
          <w:color w:val="000000"/>
          <w:shd w:val="clear" w:color="auto" w:fill="FFFFFF"/>
        </w:rPr>
        <w:t>.</w:t>
      </w:r>
    </w:p>
    <w:p w14:paraId="3EFAA5FB" w14:textId="77777777" w:rsidR="00490BD6" w:rsidRDefault="00490BD6" w:rsidP="690106C4">
      <w:pPr>
        <w:pStyle w:val="paragraph"/>
        <w:spacing w:before="0" w:beforeAutospacing="0" w:after="0" w:afterAutospacing="0"/>
        <w:rPr>
          <w:rStyle w:val="normaltextrun"/>
          <w:rFonts w:ascii="Calibri" w:hAnsi="Calibri" w:cs="Calibri"/>
          <w:color w:val="000000"/>
          <w:shd w:val="clear" w:color="auto" w:fill="FFFFFF"/>
        </w:rPr>
      </w:pPr>
    </w:p>
    <w:p w14:paraId="16A575F8" w14:textId="15DC956E" w:rsidR="2D02F09E" w:rsidRDefault="2D02F09E" w:rsidP="2D02F09E">
      <w:pPr>
        <w:rPr>
          <w:rStyle w:val="normaltextrun"/>
          <w:rFonts w:ascii="Calibri" w:hAnsi="Calibri" w:cs="Calibri"/>
          <w:b/>
          <w:bCs/>
          <w:color w:val="000000" w:themeColor="text1"/>
          <w:sz w:val="24"/>
          <w:szCs w:val="24"/>
        </w:rPr>
      </w:pPr>
    </w:p>
    <w:p w14:paraId="66601B5A" w14:textId="199E0940" w:rsidR="0012648E" w:rsidRPr="005F4AC3" w:rsidRDefault="00D06FEA" w:rsidP="7C06D870">
      <w:pPr>
        <w:pStyle w:val="ListParagraph"/>
        <w:numPr>
          <w:ilvl w:val="0"/>
          <w:numId w:val="1"/>
        </w:numPr>
        <w:rPr>
          <w:rStyle w:val="normaltextrun"/>
          <w:rFonts w:ascii="Calibri" w:hAnsi="Calibri" w:cs="Calibri"/>
          <w:b/>
          <w:bCs/>
          <w:color w:val="000000"/>
          <w:sz w:val="24"/>
          <w:szCs w:val="24"/>
          <w:shd w:val="clear" w:color="auto" w:fill="FFFFFF"/>
        </w:rPr>
      </w:pPr>
      <w:r w:rsidRPr="23E7266A">
        <w:rPr>
          <w:rStyle w:val="normaltextrun"/>
          <w:rFonts w:ascii="Calibri" w:hAnsi="Calibri" w:cs="Calibri"/>
          <w:b/>
          <w:bCs/>
          <w:color w:val="000000"/>
          <w:sz w:val="24"/>
          <w:szCs w:val="24"/>
          <w:shd w:val="clear" w:color="auto" w:fill="FFFFFF"/>
        </w:rPr>
        <w:t>Outputs and Outcomes</w:t>
      </w:r>
    </w:p>
    <w:p w14:paraId="2C517554" w14:textId="5F158B5F" w:rsidR="00221F6C" w:rsidRDefault="5865EA65"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outputs and outcomes to be delivered via this call </w:t>
      </w:r>
      <w:r w:rsidR="060992E9">
        <w:rPr>
          <w:rStyle w:val="normaltextrun"/>
          <w:rFonts w:ascii="Calibri" w:hAnsi="Calibri" w:cs="Calibri"/>
          <w:color w:val="000000"/>
          <w:shd w:val="clear" w:color="auto" w:fill="FFFFFF"/>
        </w:rPr>
        <w:t xml:space="preserve">should be </w:t>
      </w:r>
      <w:r>
        <w:rPr>
          <w:rStyle w:val="normaltextrun"/>
          <w:rFonts w:ascii="Calibri" w:hAnsi="Calibri" w:cs="Calibri"/>
          <w:color w:val="000000"/>
          <w:shd w:val="clear" w:color="auto" w:fill="FFFFFF"/>
        </w:rPr>
        <w:t xml:space="preserve">set out in line </w:t>
      </w:r>
      <w:r w:rsidR="2DC1F0FD">
        <w:rPr>
          <w:rStyle w:val="normaltextrun"/>
          <w:rFonts w:ascii="Calibri" w:hAnsi="Calibri" w:cs="Calibri"/>
          <w:color w:val="000000"/>
          <w:shd w:val="clear" w:color="auto" w:fill="FFFFFF"/>
        </w:rPr>
        <w:t xml:space="preserve">up with the LCR UKSPF Investment Plan to support </w:t>
      </w:r>
      <w:r w:rsidR="09B55717">
        <w:rPr>
          <w:rStyle w:val="normaltextrun"/>
          <w:rFonts w:ascii="Calibri" w:hAnsi="Calibri" w:cs="Calibri"/>
          <w:color w:val="000000"/>
          <w:shd w:val="clear" w:color="auto" w:fill="FFFFFF"/>
        </w:rPr>
        <w:t xml:space="preserve">economically inactive </w:t>
      </w:r>
      <w:r w:rsidR="513AF095">
        <w:rPr>
          <w:rStyle w:val="normaltextrun"/>
          <w:rFonts w:ascii="Calibri" w:hAnsi="Calibri" w:cs="Calibri"/>
          <w:color w:val="000000"/>
          <w:shd w:val="clear" w:color="auto" w:fill="FFFFFF"/>
        </w:rPr>
        <w:t>individuals</w:t>
      </w:r>
      <w:r w:rsidR="1DB34B27">
        <w:rPr>
          <w:rStyle w:val="normaltextrun"/>
          <w:rFonts w:ascii="Calibri" w:hAnsi="Calibri" w:cs="Calibri"/>
          <w:color w:val="000000"/>
          <w:shd w:val="clear" w:color="auto" w:fill="FFFFFF"/>
        </w:rPr>
        <w:t xml:space="preserve">. The intervention code this call lines up with is E33 and further details of what is eligible under the national programme can be found here: </w:t>
      </w:r>
      <w:hyperlink r:id="rId14" w:history="1">
        <w:r w:rsidR="1DB34B27">
          <w:rPr>
            <w:rStyle w:val="Hyperlink"/>
          </w:rPr>
          <w:t>UK Shared Prosperity Fund: interventions, outputs and indicators - GOV.UK (www.gov.uk)</w:t>
        </w:r>
      </w:hyperlink>
    </w:p>
    <w:p w14:paraId="45981A78" w14:textId="34A65692" w:rsidR="00D06FEA" w:rsidRDefault="0067336F"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8F165C">
        <w:rPr>
          <w:rStyle w:val="normaltextrun"/>
          <w:rFonts w:ascii="Calibri" w:hAnsi="Calibri" w:cs="Calibri"/>
          <w:color w:val="000000"/>
          <w:shd w:val="clear" w:color="auto" w:fill="FFFFFF"/>
        </w:rPr>
        <w:t xml:space="preserve">key </w:t>
      </w:r>
      <w:r>
        <w:rPr>
          <w:rStyle w:val="normaltextrun"/>
          <w:rFonts w:ascii="Calibri" w:hAnsi="Calibri" w:cs="Calibri"/>
          <w:color w:val="000000"/>
          <w:shd w:val="clear" w:color="auto" w:fill="FFFFFF"/>
        </w:rPr>
        <w:t>targets for this call are:</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5910"/>
      </w:tblGrid>
      <w:tr w:rsidR="0067336F" w:rsidRPr="0067336F" w14:paraId="37C67DA6" w14:textId="77777777" w:rsidTr="7C06D870">
        <w:trPr>
          <w:trHeight w:val="1185"/>
        </w:trPr>
        <w:tc>
          <w:tcPr>
            <w:tcW w:w="2720" w:type="dxa"/>
            <w:shd w:val="clear" w:color="auto" w:fill="auto"/>
            <w:vAlign w:val="center"/>
            <w:hideMark/>
          </w:tcPr>
          <w:p w14:paraId="08748474" w14:textId="77777777" w:rsidR="0067336F" w:rsidRPr="0067336F" w:rsidRDefault="0067336F" w:rsidP="0067336F">
            <w:pPr>
              <w:spacing w:after="0" w:line="240" w:lineRule="auto"/>
              <w:rPr>
                <w:rFonts w:ascii="Calibri" w:eastAsia="Times New Roman" w:hAnsi="Calibri" w:cs="Calibri"/>
                <w:color w:val="000000"/>
                <w:sz w:val="24"/>
                <w:szCs w:val="24"/>
                <w:lang w:eastAsia="en-GB"/>
              </w:rPr>
            </w:pPr>
            <w:r w:rsidRPr="0067336F">
              <w:rPr>
                <w:rFonts w:ascii="Calibri" w:eastAsia="Times New Roman" w:hAnsi="Calibri" w:cs="Calibri"/>
                <w:color w:val="000000"/>
                <w:sz w:val="24"/>
                <w:szCs w:val="24"/>
                <w:lang w:eastAsia="en-GB"/>
              </w:rPr>
              <w:t>Outputs</w:t>
            </w:r>
          </w:p>
        </w:tc>
        <w:tc>
          <w:tcPr>
            <w:tcW w:w="5910" w:type="dxa"/>
            <w:shd w:val="clear" w:color="auto" w:fill="auto"/>
            <w:vAlign w:val="center"/>
            <w:hideMark/>
          </w:tcPr>
          <w:p w14:paraId="790A1215" w14:textId="367E6ED7" w:rsidR="0067336F" w:rsidRPr="0067336F" w:rsidRDefault="1964579D" w:rsidP="0067336F">
            <w:pPr>
              <w:spacing w:after="0" w:line="240" w:lineRule="auto"/>
              <w:rPr>
                <w:rFonts w:ascii="Calibri" w:eastAsia="Times New Roman" w:hAnsi="Calibri" w:cs="Calibri"/>
                <w:color w:val="000000"/>
                <w:sz w:val="24"/>
                <w:szCs w:val="24"/>
                <w:lang w:eastAsia="en-GB"/>
              </w:rPr>
            </w:pPr>
            <w:r w:rsidRPr="7C06D870">
              <w:rPr>
                <w:rFonts w:ascii="Calibri" w:eastAsia="Times New Roman" w:hAnsi="Calibri" w:cs="Calibri"/>
                <w:color w:val="000000" w:themeColor="text1"/>
                <w:sz w:val="24"/>
                <w:szCs w:val="24"/>
                <w:lang w:eastAsia="en-GB"/>
              </w:rPr>
              <w:t>Economically inactive p</w:t>
            </w:r>
            <w:r w:rsidR="437743E3" w:rsidRPr="7C06D870">
              <w:rPr>
                <w:rFonts w:ascii="Calibri" w:eastAsia="Times New Roman" w:hAnsi="Calibri" w:cs="Calibri"/>
                <w:color w:val="000000" w:themeColor="text1"/>
                <w:sz w:val="24"/>
                <w:szCs w:val="24"/>
                <w:lang w:eastAsia="en-GB"/>
              </w:rPr>
              <w:t>eople</w:t>
            </w:r>
            <w:r w:rsidR="534F3E59" w:rsidRPr="7C06D870">
              <w:rPr>
                <w:rFonts w:ascii="Calibri" w:eastAsia="Times New Roman" w:hAnsi="Calibri" w:cs="Calibri"/>
                <w:color w:val="000000" w:themeColor="text1"/>
                <w:sz w:val="24"/>
                <w:szCs w:val="24"/>
                <w:lang w:eastAsia="en-GB"/>
              </w:rPr>
              <w:t xml:space="preserve"> </w:t>
            </w:r>
            <w:r w:rsidR="2022300D" w:rsidRPr="7C06D870">
              <w:rPr>
                <w:rFonts w:ascii="Calibri" w:eastAsia="Times New Roman" w:hAnsi="Calibri" w:cs="Calibri"/>
                <w:color w:val="000000" w:themeColor="text1"/>
                <w:sz w:val="24"/>
                <w:szCs w:val="24"/>
                <w:lang w:eastAsia="en-GB"/>
              </w:rPr>
              <w:t xml:space="preserve">engaged with a keyworker to </w:t>
            </w:r>
            <w:r w:rsidR="534F3E59" w:rsidRPr="7C06D870">
              <w:rPr>
                <w:rFonts w:ascii="Calibri" w:eastAsia="Times New Roman" w:hAnsi="Calibri" w:cs="Calibri"/>
                <w:color w:val="000000" w:themeColor="text1"/>
                <w:sz w:val="24"/>
                <w:szCs w:val="24"/>
                <w:lang w:eastAsia="en-GB"/>
              </w:rPr>
              <w:t>access</w:t>
            </w:r>
            <w:r w:rsidR="2022300D" w:rsidRPr="7C06D870">
              <w:rPr>
                <w:rFonts w:ascii="Calibri" w:eastAsia="Times New Roman" w:hAnsi="Calibri" w:cs="Calibri"/>
                <w:color w:val="000000" w:themeColor="text1"/>
                <w:sz w:val="24"/>
                <w:szCs w:val="24"/>
                <w:lang w:eastAsia="en-GB"/>
              </w:rPr>
              <w:t xml:space="preserve"> support services</w:t>
            </w:r>
          </w:p>
        </w:tc>
      </w:tr>
      <w:tr w:rsidR="00362051" w:rsidRPr="0067336F" w14:paraId="677E017F" w14:textId="77777777" w:rsidTr="7C06D870">
        <w:trPr>
          <w:trHeight w:val="630"/>
        </w:trPr>
        <w:tc>
          <w:tcPr>
            <w:tcW w:w="2720" w:type="dxa"/>
            <w:vMerge w:val="restart"/>
            <w:shd w:val="clear" w:color="auto" w:fill="auto"/>
            <w:vAlign w:val="center"/>
            <w:hideMark/>
          </w:tcPr>
          <w:p w14:paraId="54CF2278" w14:textId="77777777" w:rsidR="00362051" w:rsidRPr="0067336F" w:rsidRDefault="00362051" w:rsidP="0067336F">
            <w:pPr>
              <w:spacing w:after="0" w:line="240" w:lineRule="auto"/>
              <w:rPr>
                <w:rFonts w:ascii="Calibri" w:eastAsia="Times New Roman" w:hAnsi="Calibri" w:cs="Calibri"/>
                <w:color w:val="000000"/>
                <w:sz w:val="24"/>
                <w:szCs w:val="24"/>
                <w:lang w:eastAsia="en-GB"/>
              </w:rPr>
            </w:pPr>
            <w:r w:rsidRPr="0067336F">
              <w:rPr>
                <w:rFonts w:ascii="Calibri" w:eastAsia="Times New Roman" w:hAnsi="Calibri" w:cs="Calibri"/>
                <w:color w:val="000000"/>
                <w:sz w:val="24"/>
                <w:szCs w:val="24"/>
                <w:lang w:eastAsia="en-GB"/>
              </w:rPr>
              <w:t>Outcomes</w:t>
            </w:r>
          </w:p>
        </w:tc>
        <w:tc>
          <w:tcPr>
            <w:tcW w:w="5910" w:type="dxa"/>
            <w:shd w:val="clear" w:color="auto" w:fill="auto"/>
            <w:vAlign w:val="center"/>
            <w:hideMark/>
          </w:tcPr>
          <w:p w14:paraId="296A3547" w14:textId="69C00AE7" w:rsidR="00362051" w:rsidRPr="0067336F" w:rsidRDefault="6F57B677" w:rsidP="0067336F">
            <w:pPr>
              <w:spacing w:after="0" w:line="240" w:lineRule="auto"/>
              <w:rPr>
                <w:rFonts w:ascii="Calibri" w:eastAsia="Times New Roman" w:hAnsi="Calibri" w:cs="Calibri"/>
                <w:color w:val="000000"/>
                <w:sz w:val="24"/>
                <w:szCs w:val="24"/>
                <w:lang w:eastAsia="en-GB"/>
              </w:rPr>
            </w:pPr>
            <w:r w:rsidRPr="32619917">
              <w:rPr>
                <w:rFonts w:ascii="Calibri" w:eastAsia="Times New Roman" w:hAnsi="Calibri" w:cs="Calibri"/>
                <w:color w:val="000000" w:themeColor="text1"/>
                <w:sz w:val="24"/>
                <w:szCs w:val="24"/>
                <w:lang w:eastAsia="en-GB"/>
              </w:rPr>
              <w:t xml:space="preserve">People in employment, including </w:t>
            </w:r>
            <w:r w:rsidR="67D6F589" w:rsidRPr="32619917">
              <w:rPr>
                <w:rFonts w:ascii="Calibri" w:eastAsia="Times New Roman" w:hAnsi="Calibri" w:cs="Calibri"/>
                <w:color w:val="000000" w:themeColor="text1"/>
                <w:sz w:val="24"/>
                <w:szCs w:val="24"/>
                <w:lang w:eastAsia="en-GB"/>
              </w:rPr>
              <w:t>self-employment</w:t>
            </w:r>
            <w:r w:rsidRPr="32619917">
              <w:rPr>
                <w:rFonts w:ascii="Calibri" w:eastAsia="Times New Roman" w:hAnsi="Calibri" w:cs="Calibri"/>
                <w:color w:val="000000" w:themeColor="text1"/>
                <w:sz w:val="24"/>
                <w:szCs w:val="24"/>
                <w:lang w:eastAsia="en-GB"/>
              </w:rPr>
              <w:t xml:space="preserve"> following support</w:t>
            </w:r>
          </w:p>
        </w:tc>
      </w:tr>
      <w:tr w:rsidR="00362051" w:rsidRPr="0067336F" w14:paraId="0A5623F6" w14:textId="77777777" w:rsidTr="7C06D870">
        <w:trPr>
          <w:trHeight w:val="630"/>
        </w:trPr>
        <w:tc>
          <w:tcPr>
            <w:tcW w:w="2720" w:type="dxa"/>
            <w:vMerge/>
            <w:vAlign w:val="center"/>
          </w:tcPr>
          <w:p w14:paraId="0C6C51D9" w14:textId="77777777" w:rsidR="00362051" w:rsidRPr="0067336F" w:rsidRDefault="00362051" w:rsidP="0067336F">
            <w:pPr>
              <w:spacing w:after="0" w:line="240" w:lineRule="auto"/>
              <w:rPr>
                <w:rFonts w:ascii="Calibri" w:eastAsia="Times New Roman" w:hAnsi="Calibri" w:cs="Calibri"/>
                <w:color w:val="000000"/>
                <w:sz w:val="24"/>
                <w:szCs w:val="24"/>
                <w:lang w:eastAsia="en-GB"/>
              </w:rPr>
            </w:pPr>
          </w:p>
        </w:tc>
        <w:tc>
          <w:tcPr>
            <w:tcW w:w="5910" w:type="dxa"/>
            <w:shd w:val="clear" w:color="auto" w:fill="auto"/>
            <w:vAlign w:val="center"/>
          </w:tcPr>
          <w:p w14:paraId="328C999F" w14:textId="4141D44E" w:rsidR="00362051" w:rsidRPr="3ABBFEBB" w:rsidRDefault="7A5DE7EC" w:rsidP="0067336F">
            <w:pPr>
              <w:spacing w:after="0" w:line="240" w:lineRule="auto"/>
              <w:rPr>
                <w:rFonts w:ascii="Calibri" w:eastAsia="Times New Roman" w:hAnsi="Calibri" w:cs="Calibri"/>
                <w:color w:val="000000" w:themeColor="text1"/>
                <w:sz w:val="24"/>
                <w:szCs w:val="24"/>
                <w:lang w:eastAsia="en-GB"/>
              </w:rPr>
            </w:pPr>
            <w:r w:rsidRPr="7C06D870">
              <w:rPr>
                <w:rFonts w:ascii="Calibri" w:eastAsia="Times New Roman" w:hAnsi="Calibri" w:cs="Calibri"/>
                <w:color w:val="000000" w:themeColor="text1"/>
                <w:sz w:val="24"/>
                <w:szCs w:val="24"/>
                <w:lang w:eastAsia="en-GB"/>
              </w:rPr>
              <w:t>People in education or training, following support</w:t>
            </w:r>
          </w:p>
        </w:tc>
      </w:tr>
    </w:tbl>
    <w:p w14:paraId="2747AEA3" w14:textId="77777777" w:rsidR="00436FD8" w:rsidRDefault="00436FD8" w:rsidP="00F33B86">
      <w:pPr>
        <w:rPr>
          <w:rStyle w:val="normaltextrun"/>
          <w:rFonts w:ascii="Calibri" w:hAnsi="Calibri" w:cs="Calibri"/>
          <w:color w:val="000000"/>
          <w:shd w:val="clear" w:color="auto" w:fill="FFFFFF"/>
        </w:rPr>
      </w:pPr>
    </w:p>
    <w:p w14:paraId="486C303A" w14:textId="26821117" w:rsidR="7C4C501A" w:rsidRDefault="1E64D119" w:rsidP="7C4C501A">
      <w:pPr>
        <w:rPr>
          <w:rStyle w:val="normaltextrun"/>
          <w:rFonts w:ascii="Calibri" w:hAnsi="Calibri" w:cs="Calibri"/>
          <w:color w:val="000000" w:themeColor="text1"/>
        </w:rPr>
      </w:pPr>
      <w:r w:rsidRPr="7C4C501A">
        <w:rPr>
          <w:rFonts w:ascii="Calibri" w:eastAsia="Calibri" w:hAnsi="Calibri" w:cs="Calibri"/>
          <w:color w:val="000000" w:themeColor="text1"/>
        </w:rPr>
        <w:t xml:space="preserve">Further guidance on this can be found via the government website under Section 3 People and Skills, Intervention 33 </w:t>
      </w:r>
      <w:hyperlink r:id="rId15" w:history="1">
        <w:r w:rsidR="54CCF08E" w:rsidRPr="655F7397">
          <w:rPr>
            <w:rStyle w:val="Hyperlink"/>
            <w:rFonts w:ascii="Calibri" w:eastAsia="Calibri" w:hAnsi="Calibri" w:cs="Calibri"/>
          </w:rPr>
          <w:t>Interventions list for England - GOV.UK (www.gov.uk)</w:t>
        </w:r>
      </w:hyperlink>
      <w:r w:rsidR="54CCF08E" w:rsidRPr="655F7397">
        <w:rPr>
          <w:rFonts w:ascii="Calibri" w:eastAsia="Calibri" w:hAnsi="Calibri" w:cs="Calibri"/>
        </w:rPr>
        <w:t xml:space="preserve"> </w:t>
      </w:r>
    </w:p>
    <w:p w14:paraId="580CC68D" w14:textId="00B29A03" w:rsidR="00CB6E8F" w:rsidRDefault="0067336F" w:rsidP="00694FF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Your application should clearly state </w:t>
      </w:r>
      <w:r w:rsidR="0008244E">
        <w:rPr>
          <w:rStyle w:val="normaltextrun"/>
          <w:rFonts w:ascii="Calibri" w:hAnsi="Calibri" w:cs="Calibri"/>
          <w:color w:val="000000"/>
          <w:shd w:val="clear" w:color="auto" w:fill="FFFFFF"/>
        </w:rPr>
        <w:t xml:space="preserve">and quantify </w:t>
      </w:r>
      <w:r>
        <w:rPr>
          <w:rStyle w:val="normaltextrun"/>
          <w:rFonts w:ascii="Calibri" w:hAnsi="Calibri" w:cs="Calibri"/>
          <w:color w:val="000000"/>
          <w:shd w:val="clear" w:color="auto" w:fill="FFFFFF"/>
        </w:rPr>
        <w:t>how</w:t>
      </w:r>
      <w:r w:rsidR="004417FC">
        <w:rPr>
          <w:rStyle w:val="normaltextrun"/>
          <w:rFonts w:ascii="Calibri" w:hAnsi="Calibri" w:cs="Calibri"/>
          <w:color w:val="000000"/>
          <w:shd w:val="clear" w:color="auto" w:fill="FFFFFF"/>
        </w:rPr>
        <w:t xml:space="preserve"> many of </w:t>
      </w:r>
      <w:r w:rsidR="0008244E">
        <w:rPr>
          <w:rStyle w:val="normaltextrun"/>
          <w:rFonts w:ascii="Calibri" w:hAnsi="Calibri" w:cs="Calibri"/>
          <w:color w:val="000000"/>
          <w:shd w:val="clear" w:color="auto" w:fill="FFFFFF"/>
        </w:rPr>
        <w:t xml:space="preserve">the above </w:t>
      </w:r>
      <w:r w:rsidR="004417FC">
        <w:rPr>
          <w:rStyle w:val="normaltextrun"/>
          <w:rFonts w:ascii="Calibri" w:hAnsi="Calibri" w:cs="Calibri"/>
          <w:color w:val="000000"/>
          <w:shd w:val="clear" w:color="auto" w:fill="FFFFFF"/>
        </w:rPr>
        <w:t xml:space="preserve">outputs and outcomes your project </w:t>
      </w:r>
      <w:r w:rsidR="004417FC" w:rsidRPr="058856D5">
        <w:rPr>
          <w:rStyle w:val="normaltextrun"/>
          <w:rFonts w:ascii="Calibri" w:hAnsi="Calibri" w:cs="Calibri"/>
          <w:color w:val="000000" w:themeColor="text1"/>
        </w:rPr>
        <w:t>will aim to meet. As part of our Value for Money assessment, we will also review any additional</w:t>
      </w:r>
      <w:r w:rsidR="004417FC">
        <w:rPr>
          <w:rStyle w:val="normaltextrun"/>
          <w:rFonts w:ascii="Calibri" w:hAnsi="Calibri" w:cs="Calibri"/>
          <w:color w:val="000000"/>
          <w:shd w:val="clear" w:color="auto" w:fill="FFFFFF"/>
        </w:rPr>
        <w:t xml:space="preserve"> outputs and outcomes you will aim to deliver</w:t>
      </w:r>
      <w:r w:rsidR="00CB6E8F">
        <w:rPr>
          <w:rStyle w:val="normaltextrun"/>
          <w:rFonts w:ascii="Calibri" w:hAnsi="Calibri" w:cs="Calibri"/>
          <w:color w:val="000000"/>
          <w:shd w:val="clear" w:color="auto" w:fill="FFFFFF"/>
        </w:rPr>
        <w:t xml:space="preserve">. </w:t>
      </w:r>
    </w:p>
    <w:p w14:paraId="4D9555E2" w14:textId="3A7F928D" w:rsidR="00CB6E8F" w:rsidRPr="00273B1C" w:rsidRDefault="00CB6E8F"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Applicants should note that further definitions of the outputs and outcomes </w:t>
      </w:r>
      <w:r w:rsidR="00401F75">
        <w:rPr>
          <w:rStyle w:val="normaltextrun"/>
          <w:rFonts w:ascii="Calibri" w:hAnsi="Calibri" w:cs="Calibri"/>
          <w:color w:val="000000"/>
          <w:shd w:val="clear" w:color="auto" w:fill="FFFFFF"/>
        </w:rPr>
        <w:t xml:space="preserve">aligned to UKSPF can be found in the national government guidance </w:t>
      </w:r>
      <w:hyperlink r:id="rId16" w:history="1">
        <w:r w:rsidR="00E567A5">
          <w:rPr>
            <w:rStyle w:val="Hyperlink"/>
          </w:rPr>
          <w:t>UK Shared Prosperity Fund: outputs and outcomes definitions (2) - GOV.UK (www.gov.uk)</w:t>
        </w:r>
      </w:hyperlink>
      <w:r w:rsidR="00401F75">
        <w:rPr>
          <w:rStyle w:val="normaltextrun"/>
          <w:rFonts w:ascii="Calibri" w:hAnsi="Calibri" w:cs="Calibri"/>
          <w:color w:val="000000"/>
          <w:shd w:val="clear" w:color="auto" w:fill="FFFFFF"/>
        </w:rPr>
        <w:t>-</w:t>
      </w:r>
    </w:p>
    <w:p w14:paraId="2675F6FB" w14:textId="69973B2B" w:rsidR="001850F3" w:rsidRPr="001D5137" w:rsidRDefault="00BC1601" w:rsidP="7C06D870">
      <w:pPr>
        <w:pStyle w:val="ListParagraph"/>
        <w:numPr>
          <w:ilvl w:val="0"/>
          <w:numId w:val="2"/>
        </w:numPr>
        <w:rPr>
          <w:rStyle w:val="normaltextrun"/>
          <w:rFonts w:ascii="Calibri" w:hAnsi="Calibri" w:cs="Calibri"/>
          <w:b/>
          <w:bCs/>
          <w:color w:val="000000"/>
          <w:sz w:val="24"/>
          <w:szCs w:val="24"/>
          <w:shd w:val="clear" w:color="auto" w:fill="FFFFFF"/>
        </w:rPr>
      </w:pPr>
      <w:r w:rsidRPr="23E7266A">
        <w:rPr>
          <w:rStyle w:val="normaltextrun"/>
          <w:rFonts w:ascii="Calibri" w:hAnsi="Calibri" w:cs="Calibri"/>
          <w:b/>
          <w:bCs/>
          <w:color w:val="000000"/>
          <w:sz w:val="24"/>
          <w:szCs w:val="24"/>
          <w:shd w:val="clear" w:color="auto" w:fill="FFFFFF"/>
        </w:rPr>
        <w:t>Delivery</w:t>
      </w:r>
      <w:r w:rsidR="0002018F">
        <w:rPr>
          <w:rStyle w:val="normaltextrun"/>
          <w:rFonts w:ascii="Calibri" w:hAnsi="Calibri" w:cs="Calibri"/>
          <w:b/>
          <w:bCs/>
          <w:color w:val="000000"/>
          <w:sz w:val="24"/>
          <w:szCs w:val="24"/>
          <w:shd w:val="clear" w:color="auto" w:fill="FFFFFF"/>
        </w:rPr>
        <w:t xml:space="preserve"> – key principles</w:t>
      </w:r>
    </w:p>
    <w:p w14:paraId="202F2496" w14:textId="11A83D03" w:rsidR="00572B89" w:rsidRDefault="00572B89"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Delivery timescales for this call will be 01 April 2024 – 31 March 2025 and your application should clearly outline how you plan to mobilise in advance of </w:t>
      </w:r>
      <w:r w:rsidR="0002018F">
        <w:rPr>
          <w:rStyle w:val="normaltextrun"/>
          <w:rFonts w:ascii="Calibri" w:hAnsi="Calibri" w:cs="Calibri"/>
          <w:color w:val="000000"/>
          <w:shd w:val="clear" w:color="auto" w:fill="FFFFFF"/>
        </w:rPr>
        <w:t xml:space="preserve">1 </w:t>
      </w:r>
      <w:r>
        <w:rPr>
          <w:rStyle w:val="normaltextrun"/>
          <w:rFonts w:ascii="Calibri" w:hAnsi="Calibri" w:cs="Calibri"/>
          <w:color w:val="000000"/>
          <w:shd w:val="clear" w:color="auto" w:fill="FFFFFF"/>
        </w:rPr>
        <w:t xml:space="preserve">April </w:t>
      </w:r>
      <w:r w:rsidR="0002018F">
        <w:rPr>
          <w:rStyle w:val="normaltextrun"/>
          <w:rFonts w:ascii="Calibri" w:hAnsi="Calibri" w:cs="Calibri"/>
          <w:color w:val="000000"/>
          <w:shd w:val="clear" w:color="auto" w:fill="FFFFFF"/>
        </w:rPr>
        <w:t>and deliver from April onwards.</w:t>
      </w:r>
    </w:p>
    <w:p w14:paraId="74CBED41" w14:textId="76CB7F3E" w:rsidR="0012648E" w:rsidRDefault="00C66116" w:rsidP="00F33B86">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Partnership working and applications from consortia are actively encouraged</w:t>
      </w:r>
      <w:r w:rsidR="0002018F">
        <w:rPr>
          <w:rStyle w:val="normaltextrun"/>
          <w:rFonts w:ascii="Calibri" w:hAnsi="Calibri" w:cs="Calibri"/>
          <w:color w:val="000000"/>
          <w:shd w:val="clear" w:color="auto" w:fill="FFFFFF"/>
        </w:rPr>
        <w:t>,</w:t>
      </w:r>
      <w:r w:rsidR="000E0634" w:rsidRPr="3ABBFEBB">
        <w:rPr>
          <w:rStyle w:val="normaltextrun"/>
          <w:rFonts w:ascii="Calibri" w:hAnsi="Calibri" w:cs="Calibri"/>
          <w:color w:val="000000" w:themeColor="text1"/>
        </w:rPr>
        <w:t xml:space="preserve"> and your application should clearly state</w:t>
      </w:r>
      <w:r w:rsidR="000E0634">
        <w:rPr>
          <w:rStyle w:val="normaltextrun"/>
          <w:rFonts w:ascii="Calibri" w:hAnsi="Calibri" w:cs="Calibri"/>
          <w:color w:val="000000"/>
          <w:shd w:val="clear" w:color="auto" w:fill="FFFFFF"/>
        </w:rPr>
        <w:t xml:space="preserve"> how your project will complement</w:t>
      </w:r>
      <w:r w:rsidR="00E43DC8">
        <w:rPr>
          <w:rStyle w:val="normaltextrun"/>
          <w:rFonts w:ascii="Calibri" w:hAnsi="Calibri" w:cs="Calibri"/>
          <w:color w:val="000000"/>
          <w:shd w:val="clear" w:color="auto" w:fill="FFFFFF"/>
        </w:rPr>
        <w:t xml:space="preserve"> and collaborate with</w:t>
      </w:r>
      <w:r w:rsidR="000E0634">
        <w:rPr>
          <w:rStyle w:val="normaltextrun"/>
          <w:rFonts w:ascii="Calibri" w:hAnsi="Calibri" w:cs="Calibri"/>
          <w:color w:val="000000"/>
          <w:shd w:val="clear" w:color="auto" w:fill="FFFFFF"/>
        </w:rPr>
        <w:t xml:space="preserve"> existing provision and not duplicate programmes already running in the City Region.</w:t>
      </w:r>
    </w:p>
    <w:p w14:paraId="395632CE" w14:textId="501C2F7E" w:rsidR="005B6486" w:rsidRPr="005E3268" w:rsidRDefault="005B6486" w:rsidP="00F33B86">
      <w:pPr>
        <w:rPr>
          <w:rStyle w:val="normaltextrun"/>
          <w:rFonts w:ascii="Calibri" w:hAnsi="Calibri" w:cs="Calibri"/>
          <w:color w:val="000000"/>
          <w:shd w:val="clear" w:color="auto" w:fill="FFFFFF"/>
        </w:rPr>
      </w:pPr>
      <w:r w:rsidRPr="3ABBFEBB">
        <w:rPr>
          <w:rStyle w:val="normaltextrun"/>
          <w:rFonts w:ascii="Calibri" w:hAnsi="Calibri" w:cs="Calibri"/>
          <w:color w:val="000000" w:themeColor="text1"/>
        </w:rPr>
        <w:lastRenderedPageBreak/>
        <w:t>It is anticipated</w:t>
      </w:r>
      <w:r>
        <w:rPr>
          <w:rStyle w:val="normaltextrun"/>
          <w:rFonts w:ascii="Calibri" w:hAnsi="Calibri" w:cs="Calibri"/>
          <w:color w:val="000000"/>
          <w:shd w:val="clear" w:color="auto" w:fill="FFFFFF"/>
        </w:rPr>
        <w:t xml:space="preserve"> that bids will be for delivery across the City Region (rather than covering 1 or 2 Local Authority areas) so </w:t>
      </w:r>
      <w:r w:rsidR="0070156E" w:rsidRPr="3ABBFEBB">
        <w:rPr>
          <w:rStyle w:val="normaltextrun"/>
          <w:rFonts w:ascii="Calibri" w:hAnsi="Calibri" w:cs="Calibri"/>
          <w:color w:val="000000" w:themeColor="text1"/>
        </w:rPr>
        <w:t>it is important that your application demonstrates</w:t>
      </w:r>
      <w:r w:rsidR="0070156E">
        <w:rPr>
          <w:rStyle w:val="normaltextrun"/>
          <w:rFonts w:ascii="Calibri" w:hAnsi="Calibri" w:cs="Calibri"/>
          <w:color w:val="000000"/>
          <w:shd w:val="clear" w:color="auto" w:fill="FFFFFF"/>
        </w:rPr>
        <w:t xml:space="preserve"> how </w:t>
      </w:r>
      <w:r w:rsidR="004A1027">
        <w:rPr>
          <w:rStyle w:val="normaltextrun"/>
          <w:rFonts w:ascii="Calibri" w:hAnsi="Calibri" w:cs="Calibri"/>
          <w:color w:val="000000"/>
          <w:shd w:val="clear" w:color="auto" w:fill="FFFFFF"/>
        </w:rPr>
        <w:t>delivery will be at a community-level but spread across the City Region. Targets will be set to ensure spread of delivery across the City Region.</w:t>
      </w:r>
    </w:p>
    <w:p w14:paraId="246E096C" w14:textId="100644B5" w:rsidR="00266495" w:rsidRPr="00EB0AD6" w:rsidRDefault="00266495" w:rsidP="7C06D870">
      <w:pPr>
        <w:pStyle w:val="ListParagraph"/>
        <w:numPr>
          <w:ilvl w:val="0"/>
          <w:numId w:val="3"/>
        </w:numPr>
        <w:rPr>
          <w:rStyle w:val="normaltextrun"/>
          <w:rFonts w:ascii="Calibri" w:hAnsi="Calibri" w:cs="Calibri"/>
          <w:b/>
          <w:bCs/>
          <w:color w:val="000000" w:themeColor="text1"/>
          <w:sz w:val="24"/>
          <w:szCs w:val="24"/>
        </w:rPr>
      </w:pPr>
      <w:r w:rsidRPr="7C06D870">
        <w:rPr>
          <w:rStyle w:val="normaltextrun"/>
          <w:rFonts w:ascii="Calibri" w:hAnsi="Calibri" w:cs="Calibri"/>
          <w:b/>
          <w:bCs/>
          <w:color w:val="000000" w:themeColor="text1"/>
          <w:sz w:val="24"/>
          <w:szCs w:val="24"/>
        </w:rPr>
        <w:t>Supporting documentation</w:t>
      </w:r>
    </w:p>
    <w:p w14:paraId="5F0CB364" w14:textId="26664145" w:rsidR="00266495" w:rsidRPr="00EB0AD6" w:rsidRDefault="009920BA" w:rsidP="00F33B86">
      <w:pPr>
        <w:rPr>
          <w:rStyle w:val="normaltextrun"/>
          <w:rFonts w:ascii="Calibri" w:hAnsi="Calibri" w:cs="Calibri"/>
          <w:color w:val="000000"/>
          <w:shd w:val="clear" w:color="auto" w:fill="FFFFFF"/>
        </w:rPr>
      </w:pPr>
      <w:r w:rsidRPr="00EB0AD6">
        <w:rPr>
          <w:rStyle w:val="normaltextrun"/>
          <w:rFonts w:ascii="Calibri" w:hAnsi="Calibri" w:cs="Calibri"/>
          <w:color w:val="000000"/>
          <w:shd w:val="clear" w:color="auto" w:fill="FFFFFF"/>
        </w:rPr>
        <w:t xml:space="preserve">The following </w:t>
      </w:r>
      <w:r w:rsidR="00502704" w:rsidRPr="00EB0AD6">
        <w:rPr>
          <w:rStyle w:val="normaltextrun"/>
          <w:rFonts w:ascii="Calibri" w:hAnsi="Calibri" w:cs="Calibri"/>
          <w:color w:val="000000"/>
          <w:shd w:val="clear" w:color="auto" w:fill="FFFFFF"/>
        </w:rPr>
        <w:t xml:space="preserve">links and </w:t>
      </w:r>
      <w:r w:rsidRPr="00EB0AD6">
        <w:rPr>
          <w:rStyle w:val="normaltextrun"/>
          <w:rFonts w:ascii="Calibri" w:hAnsi="Calibri" w:cs="Calibri"/>
          <w:color w:val="000000"/>
          <w:shd w:val="clear" w:color="auto" w:fill="FFFFFF"/>
        </w:rPr>
        <w:t xml:space="preserve">documents are linked for context and </w:t>
      </w:r>
      <w:r w:rsidR="5D95309A" w:rsidRPr="00EB0AD6">
        <w:rPr>
          <w:rStyle w:val="normaltextrun"/>
          <w:rFonts w:ascii="Calibri" w:hAnsi="Calibri" w:cs="Calibri"/>
          <w:color w:val="000000"/>
          <w:shd w:val="clear" w:color="auto" w:fill="FFFFFF"/>
        </w:rPr>
        <w:t>background,</w:t>
      </w:r>
      <w:r w:rsidRPr="00EB0AD6">
        <w:rPr>
          <w:rStyle w:val="normaltextrun"/>
          <w:rFonts w:ascii="Calibri" w:hAnsi="Calibri" w:cs="Calibri"/>
          <w:color w:val="000000"/>
          <w:shd w:val="clear" w:color="auto" w:fill="FFFFFF"/>
        </w:rPr>
        <w:t xml:space="preserve"> and it is hoped that these will </w:t>
      </w:r>
      <w:r w:rsidR="00C9578B" w:rsidRPr="00EB0AD6">
        <w:rPr>
          <w:rStyle w:val="normaltextrun"/>
          <w:rFonts w:ascii="Calibri" w:hAnsi="Calibri" w:cs="Calibri"/>
          <w:color w:val="000000"/>
          <w:shd w:val="clear" w:color="auto" w:fill="FFFFFF"/>
        </w:rPr>
        <w:t>be helpful reference points for your application:</w:t>
      </w:r>
    </w:p>
    <w:p w14:paraId="0076D422" w14:textId="301B6F4F" w:rsidR="00C9578B" w:rsidRPr="00EB0AD6" w:rsidRDefault="00C9578B" w:rsidP="00C9578B">
      <w:pPr>
        <w:pStyle w:val="ListParagraph"/>
        <w:numPr>
          <w:ilvl w:val="0"/>
          <w:numId w:val="13"/>
        </w:numPr>
        <w:rPr>
          <w:rStyle w:val="normaltextrun"/>
          <w:rFonts w:ascii="Calibri" w:hAnsi="Calibri" w:cs="Calibri"/>
          <w:color w:val="000000"/>
          <w:shd w:val="clear" w:color="auto" w:fill="FFFFFF"/>
        </w:rPr>
      </w:pPr>
      <w:r w:rsidRPr="00EB0AD6">
        <w:rPr>
          <w:rStyle w:val="normaltextrun"/>
          <w:rFonts w:ascii="Calibri" w:hAnsi="Calibri" w:cs="Calibri"/>
          <w:color w:val="000000"/>
          <w:shd w:val="clear" w:color="auto" w:fill="FFFFFF"/>
        </w:rPr>
        <w:t>Plan for Prosperity</w:t>
      </w:r>
      <w:r w:rsidR="00502704" w:rsidRPr="00EB0AD6">
        <w:rPr>
          <w:rStyle w:val="normaltextrun"/>
          <w:rFonts w:ascii="Calibri" w:hAnsi="Calibri" w:cs="Calibri"/>
          <w:color w:val="000000"/>
          <w:shd w:val="clear" w:color="auto" w:fill="FFFFFF"/>
        </w:rPr>
        <w:t xml:space="preserve">: </w:t>
      </w:r>
      <w:hyperlink r:id="rId17" w:history="1">
        <w:r w:rsidR="00502704" w:rsidRPr="00EB0AD6">
          <w:rPr>
            <w:rStyle w:val="Hyperlink"/>
          </w:rPr>
          <w:t>Plan for Prosperity | Liverpool City Region Combined Authority (liverpoolcityregion-ca.gov.uk)</w:t>
        </w:r>
      </w:hyperlink>
    </w:p>
    <w:p w14:paraId="42D9BF3B" w14:textId="3FD53A16" w:rsidR="00A25D5C" w:rsidRPr="00EB0AD6" w:rsidRDefault="00C9578B" w:rsidP="00A25D5C">
      <w:pPr>
        <w:pStyle w:val="ListParagraph"/>
        <w:numPr>
          <w:ilvl w:val="0"/>
          <w:numId w:val="13"/>
        </w:numPr>
        <w:rPr>
          <w:rStyle w:val="Hyperlink"/>
          <w:rFonts w:ascii="Arial" w:hAnsi="Arial" w:cs="Arial"/>
          <w:color w:val="auto"/>
          <w:sz w:val="20"/>
          <w:szCs w:val="20"/>
          <w:u w:val="none"/>
        </w:rPr>
      </w:pPr>
      <w:r w:rsidRPr="00EB0AD6">
        <w:rPr>
          <w:rStyle w:val="normaltextrun"/>
          <w:rFonts w:ascii="Calibri" w:hAnsi="Calibri" w:cs="Calibri"/>
          <w:color w:val="000000"/>
          <w:shd w:val="clear" w:color="auto" w:fill="FFFFFF"/>
        </w:rPr>
        <w:t>Social Value Framework</w:t>
      </w:r>
      <w:r w:rsidR="00615C62" w:rsidRPr="00EB0AD6">
        <w:rPr>
          <w:rStyle w:val="normaltextrun"/>
          <w:rFonts w:ascii="Calibri" w:hAnsi="Calibri" w:cs="Calibri"/>
          <w:color w:val="000000"/>
          <w:shd w:val="clear" w:color="auto" w:fill="FFFFFF"/>
        </w:rPr>
        <w:t xml:space="preserve">: </w:t>
      </w:r>
      <w:hyperlink r:id="rId18" w:history="1">
        <w:r w:rsidR="00615C62" w:rsidRPr="00EB0AD6">
          <w:rPr>
            <w:rStyle w:val="Hyperlink"/>
          </w:rPr>
          <w:t>Social Value Framework | Liverpool City Region Combined Authority (liverpoolcityregion-ca.gov.uk)</w:t>
        </w:r>
      </w:hyperlink>
    </w:p>
    <w:p w14:paraId="4A6A8E53" w14:textId="09FF9D72" w:rsidR="00EB0AD6" w:rsidRPr="00EB0AD6" w:rsidRDefault="00EB0AD6" w:rsidP="00A25D5C">
      <w:pPr>
        <w:pStyle w:val="ListParagraph"/>
        <w:numPr>
          <w:ilvl w:val="0"/>
          <w:numId w:val="13"/>
        </w:numPr>
        <w:rPr>
          <w:rStyle w:val="normaltextrun"/>
          <w:rFonts w:ascii="Arial" w:hAnsi="Arial" w:cs="Arial"/>
          <w:sz w:val="20"/>
          <w:szCs w:val="20"/>
        </w:rPr>
      </w:pPr>
      <w:r w:rsidRPr="7C06D870">
        <w:rPr>
          <w:rStyle w:val="Hyperlink"/>
          <w:color w:val="auto"/>
        </w:rPr>
        <w:t>Fair Employment Charter</w:t>
      </w:r>
      <w:r w:rsidRPr="7C06D870">
        <w:rPr>
          <w:rStyle w:val="Hyperlink"/>
        </w:rPr>
        <w:t xml:space="preserve">: </w:t>
      </w:r>
      <w:hyperlink r:id="rId19">
        <w:r w:rsidR="00F53B13" w:rsidRPr="7C06D870">
          <w:rPr>
            <w:rStyle w:val="Hyperlink"/>
          </w:rPr>
          <w:t>Fair Employment Charter | Liverpool City Region Combined Authority (liverpoolcityregion-ca.gov.uk)</w:t>
        </w:r>
      </w:hyperlink>
    </w:p>
    <w:p w14:paraId="47BB1BA9" w14:textId="09C6D344" w:rsidR="234297D8" w:rsidRDefault="234297D8" w:rsidP="7C06D870">
      <w:pPr>
        <w:pStyle w:val="ListParagraph"/>
        <w:numPr>
          <w:ilvl w:val="0"/>
          <w:numId w:val="13"/>
        </w:numPr>
        <w:rPr>
          <w:color w:val="0563C1"/>
          <w:u w:val="single"/>
        </w:rPr>
      </w:pPr>
      <w:r w:rsidRPr="7C06D870">
        <w:rPr>
          <w:rStyle w:val="normaltextrun"/>
          <w:rFonts w:ascii="Arial" w:hAnsi="Arial" w:cs="Arial"/>
          <w:sz w:val="20"/>
          <w:szCs w:val="20"/>
        </w:rPr>
        <w:t>LCRCA 5 Year Climate Action Plan</w:t>
      </w:r>
      <w:r w:rsidR="7F9A9EE3" w:rsidRPr="7C06D870">
        <w:rPr>
          <w:rStyle w:val="normaltextrun"/>
          <w:rFonts w:ascii="Arial" w:hAnsi="Arial" w:cs="Arial"/>
          <w:sz w:val="20"/>
          <w:szCs w:val="20"/>
        </w:rPr>
        <w:t xml:space="preserve">: </w:t>
      </w:r>
      <w:hyperlink r:id="rId20" w:history="1">
        <w:r w:rsidR="7F9A9EE3" w:rsidRPr="7C06D870">
          <w:rPr>
            <w:rStyle w:val="Hyperlink"/>
            <w:rFonts w:ascii="Avenir Next LT Pro" w:eastAsia="Avenir Next LT Pro" w:hAnsi="Avenir Next LT Pro" w:cs="Avenir Next LT Pro"/>
          </w:rPr>
          <w:t>https://api.liverpoolcityregion-ca.gov.uk/wp-content/uploads/2023/10/LCRCA-Five-Year-Climate-Action-Plan-2023-2028-Digital.pdf</w:t>
        </w:r>
      </w:hyperlink>
    </w:p>
    <w:p w14:paraId="6D2969BB" w14:textId="1EB50261" w:rsidR="009920BA" w:rsidRPr="00266495" w:rsidRDefault="41CA8742" w:rsidP="058856D5">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Please note that the award decision made in accordance with the process set out above</w:t>
      </w:r>
      <w:r w:rsidR="009F56EB">
        <w:rPr>
          <w:rStyle w:val="normaltextrun"/>
          <w:rFonts w:ascii="Calibri" w:hAnsi="Calibri" w:cs="Calibri"/>
          <w:color w:val="000000"/>
          <w:shd w:val="clear" w:color="auto" w:fill="FFFFFF"/>
        </w:rPr>
        <w:t xml:space="preserve"> </w:t>
      </w:r>
      <w:r w:rsidR="383CCD59">
        <w:rPr>
          <w:rStyle w:val="normaltextrun"/>
          <w:rFonts w:ascii="Calibri" w:hAnsi="Calibri" w:cs="Calibri"/>
          <w:color w:val="000000"/>
          <w:shd w:val="clear" w:color="auto" w:fill="FFFFFF"/>
        </w:rPr>
        <w:t>will be</w:t>
      </w:r>
      <w:r w:rsidR="009F56EB">
        <w:rPr>
          <w:rStyle w:val="normaltextrun"/>
          <w:rFonts w:ascii="Calibri" w:hAnsi="Calibri" w:cs="Calibri"/>
          <w:color w:val="000000"/>
          <w:shd w:val="clear" w:color="auto" w:fill="FFFFFF"/>
        </w:rPr>
        <w:t xml:space="preserve"> final with no standstill period or right to appeal</w:t>
      </w:r>
      <w:r w:rsidR="001F3336">
        <w:rPr>
          <w:rStyle w:val="normaltextrun"/>
          <w:rFonts w:ascii="Calibri" w:hAnsi="Calibri" w:cs="Calibri"/>
          <w:color w:val="000000"/>
          <w:shd w:val="clear" w:color="auto" w:fill="FFFFFF"/>
        </w:rPr>
        <w:t>.</w:t>
      </w:r>
    </w:p>
    <w:sectPr w:rsidR="009920BA" w:rsidRPr="0026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Calibri"/>
    <w:charset w:val="00"/>
    <w:family w:val="swiss"/>
    <w:pitch w:val="variable"/>
    <w:sig w:usb0="800000EF" w:usb1="5000204A"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A32"/>
    <w:multiLevelType w:val="hybridMultilevel"/>
    <w:tmpl w:val="2FF6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40F64"/>
    <w:multiLevelType w:val="hybridMultilevel"/>
    <w:tmpl w:val="59FA4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553853"/>
    <w:multiLevelType w:val="multilevel"/>
    <w:tmpl w:val="FFD2C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0A35DE"/>
    <w:multiLevelType w:val="multilevel"/>
    <w:tmpl w:val="AA2ABE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39199"/>
    <w:multiLevelType w:val="hybridMultilevel"/>
    <w:tmpl w:val="43045870"/>
    <w:lvl w:ilvl="0" w:tplc="5D4A38A8">
      <w:start w:val="1"/>
      <w:numFmt w:val="decimal"/>
      <w:lvlText w:val="%1."/>
      <w:lvlJc w:val="left"/>
      <w:pPr>
        <w:ind w:left="720" w:hanging="360"/>
      </w:pPr>
    </w:lvl>
    <w:lvl w:ilvl="1" w:tplc="E35A7F66">
      <w:start w:val="1"/>
      <w:numFmt w:val="lowerLetter"/>
      <w:lvlText w:val="%2."/>
      <w:lvlJc w:val="left"/>
      <w:pPr>
        <w:ind w:left="1440" w:hanging="360"/>
      </w:pPr>
    </w:lvl>
    <w:lvl w:ilvl="2" w:tplc="DCB49D30">
      <w:start w:val="1"/>
      <w:numFmt w:val="lowerRoman"/>
      <w:lvlText w:val="%3."/>
      <w:lvlJc w:val="right"/>
      <w:pPr>
        <w:ind w:left="2160" w:hanging="180"/>
      </w:pPr>
    </w:lvl>
    <w:lvl w:ilvl="3" w:tplc="C3E0F40C">
      <w:start w:val="1"/>
      <w:numFmt w:val="decimal"/>
      <w:lvlText w:val="%4."/>
      <w:lvlJc w:val="left"/>
      <w:pPr>
        <w:ind w:left="2880" w:hanging="360"/>
      </w:pPr>
    </w:lvl>
    <w:lvl w:ilvl="4" w:tplc="F2DA26CA">
      <w:start w:val="1"/>
      <w:numFmt w:val="lowerLetter"/>
      <w:lvlText w:val="%5."/>
      <w:lvlJc w:val="left"/>
      <w:pPr>
        <w:ind w:left="3600" w:hanging="360"/>
      </w:pPr>
    </w:lvl>
    <w:lvl w:ilvl="5" w:tplc="97F078D6">
      <w:start w:val="1"/>
      <w:numFmt w:val="lowerRoman"/>
      <w:lvlText w:val="%6."/>
      <w:lvlJc w:val="right"/>
      <w:pPr>
        <w:ind w:left="4320" w:hanging="180"/>
      </w:pPr>
    </w:lvl>
    <w:lvl w:ilvl="6" w:tplc="23D27A1C">
      <w:start w:val="1"/>
      <w:numFmt w:val="decimal"/>
      <w:lvlText w:val="%7."/>
      <w:lvlJc w:val="left"/>
      <w:pPr>
        <w:ind w:left="5040" w:hanging="360"/>
      </w:pPr>
    </w:lvl>
    <w:lvl w:ilvl="7" w:tplc="1B0C08CC">
      <w:start w:val="1"/>
      <w:numFmt w:val="lowerLetter"/>
      <w:lvlText w:val="%8."/>
      <w:lvlJc w:val="left"/>
      <w:pPr>
        <w:ind w:left="5760" w:hanging="360"/>
      </w:pPr>
    </w:lvl>
    <w:lvl w:ilvl="8" w:tplc="C0A05B26">
      <w:start w:val="1"/>
      <w:numFmt w:val="lowerRoman"/>
      <w:lvlText w:val="%9."/>
      <w:lvlJc w:val="right"/>
      <w:pPr>
        <w:ind w:left="6480" w:hanging="180"/>
      </w:pPr>
    </w:lvl>
  </w:abstractNum>
  <w:abstractNum w:abstractNumId="5" w15:restartNumberingAfterBreak="0">
    <w:nsid w:val="18550C34"/>
    <w:multiLevelType w:val="hybridMultilevel"/>
    <w:tmpl w:val="B3F2DC30"/>
    <w:lvl w:ilvl="0" w:tplc="B5643A1A">
      <w:start w:val="1"/>
      <w:numFmt w:val="bullet"/>
      <w:lvlText w:val="-"/>
      <w:lvlJc w:val="left"/>
      <w:pPr>
        <w:ind w:left="720" w:hanging="360"/>
      </w:pPr>
      <w:rPr>
        <w:rFonts w:ascii="Calibri" w:hAnsi="Calibri" w:hint="default"/>
      </w:rPr>
    </w:lvl>
    <w:lvl w:ilvl="1" w:tplc="750A8F06">
      <w:start w:val="1"/>
      <w:numFmt w:val="bullet"/>
      <w:lvlText w:val="o"/>
      <w:lvlJc w:val="left"/>
      <w:pPr>
        <w:ind w:left="1440" w:hanging="360"/>
      </w:pPr>
      <w:rPr>
        <w:rFonts w:ascii="Courier New" w:hAnsi="Courier New" w:hint="default"/>
      </w:rPr>
    </w:lvl>
    <w:lvl w:ilvl="2" w:tplc="68ECC52E">
      <w:start w:val="1"/>
      <w:numFmt w:val="bullet"/>
      <w:lvlText w:val=""/>
      <w:lvlJc w:val="left"/>
      <w:pPr>
        <w:ind w:left="2160" w:hanging="360"/>
      </w:pPr>
      <w:rPr>
        <w:rFonts w:ascii="Wingdings" w:hAnsi="Wingdings" w:hint="default"/>
      </w:rPr>
    </w:lvl>
    <w:lvl w:ilvl="3" w:tplc="FC306560">
      <w:start w:val="1"/>
      <w:numFmt w:val="bullet"/>
      <w:lvlText w:val=""/>
      <w:lvlJc w:val="left"/>
      <w:pPr>
        <w:ind w:left="2880" w:hanging="360"/>
      </w:pPr>
      <w:rPr>
        <w:rFonts w:ascii="Symbol" w:hAnsi="Symbol" w:hint="default"/>
      </w:rPr>
    </w:lvl>
    <w:lvl w:ilvl="4" w:tplc="7ADCBC4C">
      <w:start w:val="1"/>
      <w:numFmt w:val="bullet"/>
      <w:lvlText w:val="o"/>
      <w:lvlJc w:val="left"/>
      <w:pPr>
        <w:ind w:left="3600" w:hanging="360"/>
      </w:pPr>
      <w:rPr>
        <w:rFonts w:ascii="Courier New" w:hAnsi="Courier New" w:hint="default"/>
      </w:rPr>
    </w:lvl>
    <w:lvl w:ilvl="5" w:tplc="2EEA3980">
      <w:start w:val="1"/>
      <w:numFmt w:val="bullet"/>
      <w:lvlText w:val=""/>
      <w:lvlJc w:val="left"/>
      <w:pPr>
        <w:ind w:left="4320" w:hanging="360"/>
      </w:pPr>
      <w:rPr>
        <w:rFonts w:ascii="Wingdings" w:hAnsi="Wingdings" w:hint="default"/>
      </w:rPr>
    </w:lvl>
    <w:lvl w:ilvl="6" w:tplc="4DA07F6E">
      <w:start w:val="1"/>
      <w:numFmt w:val="bullet"/>
      <w:lvlText w:val=""/>
      <w:lvlJc w:val="left"/>
      <w:pPr>
        <w:ind w:left="5040" w:hanging="360"/>
      </w:pPr>
      <w:rPr>
        <w:rFonts w:ascii="Symbol" w:hAnsi="Symbol" w:hint="default"/>
      </w:rPr>
    </w:lvl>
    <w:lvl w:ilvl="7" w:tplc="23607D88">
      <w:start w:val="1"/>
      <w:numFmt w:val="bullet"/>
      <w:lvlText w:val="o"/>
      <w:lvlJc w:val="left"/>
      <w:pPr>
        <w:ind w:left="5760" w:hanging="360"/>
      </w:pPr>
      <w:rPr>
        <w:rFonts w:ascii="Courier New" w:hAnsi="Courier New" w:hint="default"/>
      </w:rPr>
    </w:lvl>
    <w:lvl w:ilvl="8" w:tplc="370E5BFE">
      <w:start w:val="1"/>
      <w:numFmt w:val="bullet"/>
      <w:lvlText w:val=""/>
      <w:lvlJc w:val="left"/>
      <w:pPr>
        <w:ind w:left="6480" w:hanging="360"/>
      </w:pPr>
      <w:rPr>
        <w:rFonts w:ascii="Wingdings" w:hAnsi="Wingdings" w:hint="default"/>
      </w:rPr>
    </w:lvl>
  </w:abstractNum>
  <w:abstractNum w:abstractNumId="6" w15:restartNumberingAfterBreak="0">
    <w:nsid w:val="187F6B3F"/>
    <w:multiLevelType w:val="multilevel"/>
    <w:tmpl w:val="3570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D57706"/>
    <w:multiLevelType w:val="multilevel"/>
    <w:tmpl w:val="D2AC9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F3371"/>
    <w:multiLevelType w:val="multilevel"/>
    <w:tmpl w:val="65028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B3C40"/>
    <w:multiLevelType w:val="hybridMultilevel"/>
    <w:tmpl w:val="4DA4170E"/>
    <w:lvl w:ilvl="0" w:tplc="FFFFFFFF">
      <w:start w:val="6"/>
      <w:numFmt w:val="bullet"/>
      <w:lvlText w:val="-"/>
      <w:lvlJc w:val="left"/>
      <w:pPr>
        <w:ind w:left="720" w:hanging="360"/>
      </w:pPr>
      <w:rPr>
        <w:rFonts w:ascii="Calibri" w:hAnsi="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E18AB"/>
    <w:multiLevelType w:val="hybridMultilevel"/>
    <w:tmpl w:val="6086626C"/>
    <w:lvl w:ilvl="0" w:tplc="8DCC413E">
      <w:start w:val="6"/>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839E6"/>
    <w:multiLevelType w:val="multilevel"/>
    <w:tmpl w:val="D31A1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56CF57"/>
    <w:multiLevelType w:val="hybridMultilevel"/>
    <w:tmpl w:val="BD04F2AA"/>
    <w:lvl w:ilvl="0" w:tplc="2CD2C728">
      <w:start w:val="1"/>
      <w:numFmt w:val="bullet"/>
      <w:lvlText w:val="-"/>
      <w:lvlJc w:val="left"/>
      <w:pPr>
        <w:ind w:left="720" w:hanging="360"/>
      </w:pPr>
      <w:rPr>
        <w:rFonts w:ascii="Calibri" w:hAnsi="Calibri" w:hint="default"/>
      </w:rPr>
    </w:lvl>
    <w:lvl w:ilvl="1" w:tplc="074660CE">
      <w:start w:val="1"/>
      <w:numFmt w:val="bullet"/>
      <w:lvlText w:val="o"/>
      <w:lvlJc w:val="left"/>
      <w:pPr>
        <w:ind w:left="1440" w:hanging="360"/>
      </w:pPr>
      <w:rPr>
        <w:rFonts w:ascii="Courier New" w:hAnsi="Courier New" w:hint="default"/>
      </w:rPr>
    </w:lvl>
    <w:lvl w:ilvl="2" w:tplc="2D687D30">
      <w:start w:val="1"/>
      <w:numFmt w:val="bullet"/>
      <w:lvlText w:val=""/>
      <w:lvlJc w:val="left"/>
      <w:pPr>
        <w:ind w:left="2160" w:hanging="360"/>
      </w:pPr>
      <w:rPr>
        <w:rFonts w:ascii="Wingdings" w:hAnsi="Wingdings" w:hint="default"/>
      </w:rPr>
    </w:lvl>
    <w:lvl w:ilvl="3" w:tplc="F7726B34">
      <w:start w:val="1"/>
      <w:numFmt w:val="bullet"/>
      <w:lvlText w:val=""/>
      <w:lvlJc w:val="left"/>
      <w:pPr>
        <w:ind w:left="2880" w:hanging="360"/>
      </w:pPr>
      <w:rPr>
        <w:rFonts w:ascii="Symbol" w:hAnsi="Symbol" w:hint="default"/>
      </w:rPr>
    </w:lvl>
    <w:lvl w:ilvl="4" w:tplc="2DF2F7FA">
      <w:start w:val="1"/>
      <w:numFmt w:val="bullet"/>
      <w:lvlText w:val="o"/>
      <w:lvlJc w:val="left"/>
      <w:pPr>
        <w:ind w:left="3600" w:hanging="360"/>
      </w:pPr>
      <w:rPr>
        <w:rFonts w:ascii="Courier New" w:hAnsi="Courier New" w:hint="default"/>
      </w:rPr>
    </w:lvl>
    <w:lvl w:ilvl="5" w:tplc="DED41E18">
      <w:start w:val="1"/>
      <w:numFmt w:val="bullet"/>
      <w:lvlText w:val=""/>
      <w:lvlJc w:val="left"/>
      <w:pPr>
        <w:ind w:left="4320" w:hanging="360"/>
      </w:pPr>
      <w:rPr>
        <w:rFonts w:ascii="Wingdings" w:hAnsi="Wingdings" w:hint="default"/>
      </w:rPr>
    </w:lvl>
    <w:lvl w:ilvl="6" w:tplc="E6E80DD0">
      <w:start w:val="1"/>
      <w:numFmt w:val="bullet"/>
      <w:lvlText w:val=""/>
      <w:lvlJc w:val="left"/>
      <w:pPr>
        <w:ind w:left="5040" w:hanging="360"/>
      </w:pPr>
      <w:rPr>
        <w:rFonts w:ascii="Symbol" w:hAnsi="Symbol" w:hint="default"/>
      </w:rPr>
    </w:lvl>
    <w:lvl w:ilvl="7" w:tplc="549A271E">
      <w:start w:val="1"/>
      <w:numFmt w:val="bullet"/>
      <w:lvlText w:val="o"/>
      <w:lvlJc w:val="left"/>
      <w:pPr>
        <w:ind w:left="5760" w:hanging="360"/>
      </w:pPr>
      <w:rPr>
        <w:rFonts w:ascii="Courier New" w:hAnsi="Courier New" w:hint="default"/>
      </w:rPr>
    </w:lvl>
    <w:lvl w:ilvl="8" w:tplc="102CA458">
      <w:start w:val="1"/>
      <w:numFmt w:val="bullet"/>
      <w:lvlText w:val=""/>
      <w:lvlJc w:val="left"/>
      <w:pPr>
        <w:ind w:left="6480" w:hanging="360"/>
      </w:pPr>
      <w:rPr>
        <w:rFonts w:ascii="Wingdings" w:hAnsi="Wingdings" w:hint="default"/>
      </w:rPr>
    </w:lvl>
  </w:abstractNum>
  <w:abstractNum w:abstractNumId="13" w15:restartNumberingAfterBreak="0">
    <w:nsid w:val="49B1D132"/>
    <w:multiLevelType w:val="hybridMultilevel"/>
    <w:tmpl w:val="A0A43584"/>
    <w:lvl w:ilvl="0" w:tplc="8E5E2C70">
      <w:start w:val="1"/>
      <w:numFmt w:val="bullet"/>
      <w:lvlText w:val="-"/>
      <w:lvlJc w:val="left"/>
      <w:pPr>
        <w:ind w:left="720" w:hanging="360"/>
      </w:pPr>
      <w:rPr>
        <w:rFonts w:ascii="Calibri" w:hAnsi="Calibri" w:hint="default"/>
      </w:rPr>
    </w:lvl>
    <w:lvl w:ilvl="1" w:tplc="52340238">
      <w:start w:val="1"/>
      <w:numFmt w:val="bullet"/>
      <w:lvlText w:val="o"/>
      <w:lvlJc w:val="left"/>
      <w:pPr>
        <w:ind w:left="1440" w:hanging="360"/>
      </w:pPr>
      <w:rPr>
        <w:rFonts w:ascii="Courier New" w:hAnsi="Courier New" w:hint="default"/>
      </w:rPr>
    </w:lvl>
    <w:lvl w:ilvl="2" w:tplc="77A6821E">
      <w:start w:val="1"/>
      <w:numFmt w:val="bullet"/>
      <w:lvlText w:val=""/>
      <w:lvlJc w:val="left"/>
      <w:pPr>
        <w:ind w:left="2160" w:hanging="360"/>
      </w:pPr>
      <w:rPr>
        <w:rFonts w:ascii="Wingdings" w:hAnsi="Wingdings" w:hint="default"/>
      </w:rPr>
    </w:lvl>
    <w:lvl w:ilvl="3" w:tplc="49B04DCE">
      <w:start w:val="1"/>
      <w:numFmt w:val="bullet"/>
      <w:lvlText w:val=""/>
      <w:lvlJc w:val="left"/>
      <w:pPr>
        <w:ind w:left="2880" w:hanging="360"/>
      </w:pPr>
      <w:rPr>
        <w:rFonts w:ascii="Symbol" w:hAnsi="Symbol" w:hint="default"/>
      </w:rPr>
    </w:lvl>
    <w:lvl w:ilvl="4" w:tplc="46E060C6">
      <w:start w:val="1"/>
      <w:numFmt w:val="bullet"/>
      <w:lvlText w:val="o"/>
      <w:lvlJc w:val="left"/>
      <w:pPr>
        <w:ind w:left="3600" w:hanging="360"/>
      </w:pPr>
      <w:rPr>
        <w:rFonts w:ascii="Courier New" w:hAnsi="Courier New" w:hint="default"/>
      </w:rPr>
    </w:lvl>
    <w:lvl w:ilvl="5" w:tplc="0BAC478C">
      <w:start w:val="1"/>
      <w:numFmt w:val="bullet"/>
      <w:lvlText w:val=""/>
      <w:lvlJc w:val="left"/>
      <w:pPr>
        <w:ind w:left="4320" w:hanging="360"/>
      </w:pPr>
      <w:rPr>
        <w:rFonts w:ascii="Wingdings" w:hAnsi="Wingdings" w:hint="default"/>
      </w:rPr>
    </w:lvl>
    <w:lvl w:ilvl="6" w:tplc="391E9AAE">
      <w:start w:val="1"/>
      <w:numFmt w:val="bullet"/>
      <w:lvlText w:val=""/>
      <w:lvlJc w:val="left"/>
      <w:pPr>
        <w:ind w:left="5040" w:hanging="360"/>
      </w:pPr>
      <w:rPr>
        <w:rFonts w:ascii="Symbol" w:hAnsi="Symbol" w:hint="default"/>
      </w:rPr>
    </w:lvl>
    <w:lvl w:ilvl="7" w:tplc="9F26DFD8">
      <w:start w:val="1"/>
      <w:numFmt w:val="bullet"/>
      <w:lvlText w:val="o"/>
      <w:lvlJc w:val="left"/>
      <w:pPr>
        <w:ind w:left="5760" w:hanging="360"/>
      </w:pPr>
      <w:rPr>
        <w:rFonts w:ascii="Courier New" w:hAnsi="Courier New" w:hint="default"/>
      </w:rPr>
    </w:lvl>
    <w:lvl w:ilvl="8" w:tplc="0EB212C2">
      <w:start w:val="1"/>
      <w:numFmt w:val="bullet"/>
      <w:lvlText w:val=""/>
      <w:lvlJc w:val="left"/>
      <w:pPr>
        <w:ind w:left="6480" w:hanging="360"/>
      </w:pPr>
      <w:rPr>
        <w:rFonts w:ascii="Wingdings" w:hAnsi="Wingdings" w:hint="default"/>
      </w:rPr>
    </w:lvl>
  </w:abstractNum>
  <w:abstractNum w:abstractNumId="14" w15:restartNumberingAfterBreak="0">
    <w:nsid w:val="4ABF3E0A"/>
    <w:multiLevelType w:val="multilevel"/>
    <w:tmpl w:val="9BC8CF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7A3AFD"/>
    <w:multiLevelType w:val="hybridMultilevel"/>
    <w:tmpl w:val="D85832A2"/>
    <w:lvl w:ilvl="0" w:tplc="FFFFFFFF">
      <w:start w:val="6"/>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934F4"/>
    <w:multiLevelType w:val="hybridMultilevel"/>
    <w:tmpl w:val="557E4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B3911"/>
    <w:multiLevelType w:val="hybridMultilevel"/>
    <w:tmpl w:val="E35E1E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61BE2AB"/>
    <w:multiLevelType w:val="hybridMultilevel"/>
    <w:tmpl w:val="32EAC330"/>
    <w:lvl w:ilvl="0" w:tplc="FFFFFFFF">
      <w:start w:val="1"/>
      <w:numFmt w:val="decimal"/>
      <w:lvlText w:val="%1."/>
      <w:lvlJc w:val="left"/>
      <w:pPr>
        <w:ind w:left="720" w:hanging="360"/>
      </w:pPr>
    </w:lvl>
    <w:lvl w:ilvl="1" w:tplc="03E258F8">
      <w:start w:val="1"/>
      <w:numFmt w:val="lowerLetter"/>
      <w:lvlText w:val="%2."/>
      <w:lvlJc w:val="left"/>
      <w:pPr>
        <w:ind w:left="1440" w:hanging="360"/>
      </w:pPr>
    </w:lvl>
    <w:lvl w:ilvl="2" w:tplc="78A26B74">
      <w:start w:val="1"/>
      <w:numFmt w:val="lowerRoman"/>
      <w:lvlText w:val="%3."/>
      <w:lvlJc w:val="right"/>
      <w:pPr>
        <w:ind w:left="2160" w:hanging="180"/>
      </w:pPr>
    </w:lvl>
    <w:lvl w:ilvl="3" w:tplc="AAF85A20">
      <w:start w:val="1"/>
      <w:numFmt w:val="decimal"/>
      <w:lvlText w:val="%4."/>
      <w:lvlJc w:val="left"/>
      <w:pPr>
        <w:ind w:left="2880" w:hanging="360"/>
      </w:pPr>
    </w:lvl>
    <w:lvl w:ilvl="4" w:tplc="E6B66F20">
      <w:start w:val="1"/>
      <w:numFmt w:val="lowerLetter"/>
      <w:lvlText w:val="%5."/>
      <w:lvlJc w:val="left"/>
      <w:pPr>
        <w:ind w:left="3600" w:hanging="360"/>
      </w:pPr>
    </w:lvl>
    <w:lvl w:ilvl="5" w:tplc="BE02EBBA">
      <w:start w:val="1"/>
      <w:numFmt w:val="lowerRoman"/>
      <w:lvlText w:val="%6."/>
      <w:lvlJc w:val="right"/>
      <w:pPr>
        <w:ind w:left="4320" w:hanging="180"/>
      </w:pPr>
    </w:lvl>
    <w:lvl w:ilvl="6" w:tplc="DE2A734E">
      <w:start w:val="1"/>
      <w:numFmt w:val="decimal"/>
      <w:lvlText w:val="%7."/>
      <w:lvlJc w:val="left"/>
      <w:pPr>
        <w:ind w:left="5040" w:hanging="360"/>
      </w:pPr>
    </w:lvl>
    <w:lvl w:ilvl="7" w:tplc="FD369054">
      <w:start w:val="1"/>
      <w:numFmt w:val="lowerLetter"/>
      <w:lvlText w:val="%8."/>
      <w:lvlJc w:val="left"/>
      <w:pPr>
        <w:ind w:left="5760" w:hanging="360"/>
      </w:pPr>
    </w:lvl>
    <w:lvl w:ilvl="8" w:tplc="52FE64A2">
      <w:start w:val="1"/>
      <w:numFmt w:val="lowerRoman"/>
      <w:lvlText w:val="%9."/>
      <w:lvlJc w:val="right"/>
      <w:pPr>
        <w:ind w:left="6480" w:hanging="180"/>
      </w:pPr>
    </w:lvl>
  </w:abstractNum>
  <w:abstractNum w:abstractNumId="19" w15:restartNumberingAfterBreak="0">
    <w:nsid w:val="6A952059"/>
    <w:multiLevelType w:val="hybridMultilevel"/>
    <w:tmpl w:val="3BF8F7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B56917"/>
    <w:multiLevelType w:val="hybridMultilevel"/>
    <w:tmpl w:val="B694C8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22051842">
    <w:abstractNumId w:val="5"/>
  </w:num>
  <w:num w:numId="2" w16cid:durableId="478496826">
    <w:abstractNumId w:val="13"/>
  </w:num>
  <w:num w:numId="3" w16cid:durableId="1508329852">
    <w:abstractNumId w:val="12"/>
  </w:num>
  <w:num w:numId="4" w16cid:durableId="2081293450">
    <w:abstractNumId w:val="10"/>
  </w:num>
  <w:num w:numId="5" w16cid:durableId="2124686445">
    <w:abstractNumId w:val="9"/>
  </w:num>
  <w:num w:numId="6" w16cid:durableId="1126241935">
    <w:abstractNumId w:val="6"/>
  </w:num>
  <w:num w:numId="7" w16cid:durableId="825897023">
    <w:abstractNumId w:val="8"/>
  </w:num>
  <w:num w:numId="8" w16cid:durableId="696388454">
    <w:abstractNumId w:val="7"/>
  </w:num>
  <w:num w:numId="9" w16cid:durableId="30809804">
    <w:abstractNumId w:val="2"/>
  </w:num>
  <w:num w:numId="10" w16cid:durableId="570964937">
    <w:abstractNumId w:val="14"/>
  </w:num>
  <w:num w:numId="11" w16cid:durableId="1217661553">
    <w:abstractNumId w:val="11"/>
  </w:num>
  <w:num w:numId="12" w16cid:durableId="953365425">
    <w:abstractNumId w:val="3"/>
  </w:num>
  <w:num w:numId="13" w16cid:durableId="1562713871">
    <w:abstractNumId w:val="15"/>
  </w:num>
  <w:num w:numId="14" w16cid:durableId="1861312815">
    <w:abstractNumId w:val="4"/>
  </w:num>
  <w:num w:numId="15" w16cid:durableId="443960453">
    <w:abstractNumId w:val="18"/>
  </w:num>
  <w:num w:numId="16" w16cid:durableId="675227502">
    <w:abstractNumId w:val="17"/>
  </w:num>
  <w:num w:numId="17" w16cid:durableId="1370688124">
    <w:abstractNumId w:val="16"/>
  </w:num>
  <w:num w:numId="18" w16cid:durableId="206919201">
    <w:abstractNumId w:val="19"/>
  </w:num>
  <w:num w:numId="19" w16cid:durableId="2041398529">
    <w:abstractNumId w:val="0"/>
  </w:num>
  <w:num w:numId="20" w16cid:durableId="111902415">
    <w:abstractNumId w:val="1"/>
  </w:num>
  <w:num w:numId="21" w16cid:durableId="20111047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86"/>
    <w:rsid w:val="00006761"/>
    <w:rsid w:val="000120BE"/>
    <w:rsid w:val="0002018F"/>
    <w:rsid w:val="000208A0"/>
    <w:rsid w:val="000245CD"/>
    <w:rsid w:val="00032F06"/>
    <w:rsid w:val="00034AC5"/>
    <w:rsid w:val="000361AC"/>
    <w:rsid w:val="00042B99"/>
    <w:rsid w:val="00065076"/>
    <w:rsid w:val="00067D65"/>
    <w:rsid w:val="00072F47"/>
    <w:rsid w:val="00080D58"/>
    <w:rsid w:val="0008244E"/>
    <w:rsid w:val="000A1ED5"/>
    <w:rsid w:val="000D6DA0"/>
    <w:rsid w:val="000D7805"/>
    <w:rsid w:val="000E0634"/>
    <w:rsid w:val="00107182"/>
    <w:rsid w:val="00115EA5"/>
    <w:rsid w:val="0012648E"/>
    <w:rsid w:val="00126814"/>
    <w:rsid w:val="00136325"/>
    <w:rsid w:val="001850F3"/>
    <w:rsid w:val="001B06E9"/>
    <w:rsid w:val="001D137E"/>
    <w:rsid w:val="001D5137"/>
    <w:rsid w:val="001D7717"/>
    <w:rsid w:val="001F290B"/>
    <w:rsid w:val="001F3336"/>
    <w:rsid w:val="00213FEA"/>
    <w:rsid w:val="00216316"/>
    <w:rsid w:val="0022110B"/>
    <w:rsid w:val="00221F6C"/>
    <w:rsid w:val="00240690"/>
    <w:rsid w:val="0024256F"/>
    <w:rsid w:val="002427F0"/>
    <w:rsid w:val="00244E51"/>
    <w:rsid w:val="00255B22"/>
    <w:rsid w:val="00266495"/>
    <w:rsid w:val="00273B1C"/>
    <w:rsid w:val="00276CB7"/>
    <w:rsid w:val="002A37A0"/>
    <w:rsid w:val="002A693B"/>
    <w:rsid w:val="002D017B"/>
    <w:rsid w:val="002E4AE2"/>
    <w:rsid w:val="003005CA"/>
    <w:rsid w:val="00312D93"/>
    <w:rsid w:val="00336B9F"/>
    <w:rsid w:val="003425C0"/>
    <w:rsid w:val="00362051"/>
    <w:rsid w:val="00377007"/>
    <w:rsid w:val="00380C91"/>
    <w:rsid w:val="00395BB7"/>
    <w:rsid w:val="003A2EE8"/>
    <w:rsid w:val="003A3761"/>
    <w:rsid w:val="003D105A"/>
    <w:rsid w:val="003E17AC"/>
    <w:rsid w:val="003F4AF9"/>
    <w:rsid w:val="0040172D"/>
    <w:rsid w:val="00401F75"/>
    <w:rsid w:val="0042722A"/>
    <w:rsid w:val="00436FD8"/>
    <w:rsid w:val="00441529"/>
    <w:rsid w:val="004417FC"/>
    <w:rsid w:val="00456FDC"/>
    <w:rsid w:val="00472E61"/>
    <w:rsid w:val="00490BD6"/>
    <w:rsid w:val="004947D5"/>
    <w:rsid w:val="004A1027"/>
    <w:rsid w:val="004A40C4"/>
    <w:rsid w:val="004A487F"/>
    <w:rsid w:val="004C4904"/>
    <w:rsid w:val="004D1BD2"/>
    <w:rsid w:val="0050208D"/>
    <w:rsid w:val="00502704"/>
    <w:rsid w:val="00505712"/>
    <w:rsid w:val="00507830"/>
    <w:rsid w:val="0051592B"/>
    <w:rsid w:val="00526278"/>
    <w:rsid w:val="00536159"/>
    <w:rsid w:val="00537236"/>
    <w:rsid w:val="00545378"/>
    <w:rsid w:val="00550673"/>
    <w:rsid w:val="00554418"/>
    <w:rsid w:val="00560E3D"/>
    <w:rsid w:val="00562DB6"/>
    <w:rsid w:val="00565D1C"/>
    <w:rsid w:val="00572B89"/>
    <w:rsid w:val="0058190F"/>
    <w:rsid w:val="005A2427"/>
    <w:rsid w:val="005B6486"/>
    <w:rsid w:val="005E3268"/>
    <w:rsid w:val="005F4AC3"/>
    <w:rsid w:val="00615C62"/>
    <w:rsid w:val="00617304"/>
    <w:rsid w:val="00622133"/>
    <w:rsid w:val="006254CB"/>
    <w:rsid w:val="00627891"/>
    <w:rsid w:val="00636101"/>
    <w:rsid w:val="006456C6"/>
    <w:rsid w:val="00670D33"/>
    <w:rsid w:val="0067336F"/>
    <w:rsid w:val="0068177D"/>
    <w:rsid w:val="00683931"/>
    <w:rsid w:val="00683F9D"/>
    <w:rsid w:val="00692F63"/>
    <w:rsid w:val="00694FF6"/>
    <w:rsid w:val="006E0FD1"/>
    <w:rsid w:val="0070156E"/>
    <w:rsid w:val="00743D1E"/>
    <w:rsid w:val="00745596"/>
    <w:rsid w:val="007B56A4"/>
    <w:rsid w:val="007D38FC"/>
    <w:rsid w:val="007E64F0"/>
    <w:rsid w:val="007F5DCB"/>
    <w:rsid w:val="008130D4"/>
    <w:rsid w:val="0082415B"/>
    <w:rsid w:val="00842BE6"/>
    <w:rsid w:val="0086599D"/>
    <w:rsid w:val="00870FEF"/>
    <w:rsid w:val="008726E2"/>
    <w:rsid w:val="008813E7"/>
    <w:rsid w:val="00892DFE"/>
    <w:rsid w:val="00893CF7"/>
    <w:rsid w:val="008A0AE0"/>
    <w:rsid w:val="008A19F0"/>
    <w:rsid w:val="008A65AC"/>
    <w:rsid w:val="008C24E6"/>
    <w:rsid w:val="008D475D"/>
    <w:rsid w:val="008F165C"/>
    <w:rsid w:val="00923E61"/>
    <w:rsid w:val="00945D78"/>
    <w:rsid w:val="009920BA"/>
    <w:rsid w:val="009A0AF0"/>
    <w:rsid w:val="009C22ED"/>
    <w:rsid w:val="009D214A"/>
    <w:rsid w:val="009E1B89"/>
    <w:rsid w:val="009E36BD"/>
    <w:rsid w:val="009F42D2"/>
    <w:rsid w:val="009F56EB"/>
    <w:rsid w:val="00A013B2"/>
    <w:rsid w:val="00A25D5C"/>
    <w:rsid w:val="00A44DC0"/>
    <w:rsid w:val="00A62A8D"/>
    <w:rsid w:val="00A6317E"/>
    <w:rsid w:val="00A70F36"/>
    <w:rsid w:val="00A744AE"/>
    <w:rsid w:val="00A80F35"/>
    <w:rsid w:val="00A8586B"/>
    <w:rsid w:val="00A9229B"/>
    <w:rsid w:val="00A97F23"/>
    <w:rsid w:val="00AA7EC7"/>
    <w:rsid w:val="00AB174D"/>
    <w:rsid w:val="00AB69AA"/>
    <w:rsid w:val="00AB7C32"/>
    <w:rsid w:val="00AE4342"/>
    <w:rsid w:val="00B04870"/>
    <w:rsid w:val="00B30112"/>
    <w:rsid w:val="00B32487"/>
    <w:rsid w:val="00B54B46"/>
    <w:rsid w:val="00B57281"/>
    <w:rsid w:val="00B631C4"/>
    <w:rsid w:val="00B632AF"/>
    <w:rsid w:val="00B949B5"/>
    <w:rsid w:val="00B97301"/>
    <w:rsid w:val="00BA216C"/>
    <w:rsid w:val="00BA59B6"/>
    <w:rsid w:val="00BB4B94"/>
    <w:rsid w:val="00BC1601"/>
    <w:rsid w:val="00BC2555"/>
    <w:rsid w:val="00BC57DD"/>
    <w:rsid w:val="00BE5E15"/>
    <w:rsid w:val="00C14F31"/>
    <w:rsid w:val="00C25FAE"/>
    <w:rsid w:val="00C3003E"/>
    <w:rsid w:val="00C40437"/>
    <w:rsid w:val="00C5096B"/>
    <w:rsid w:val="00C66116"/>
    <w:rsid w:val="00C75F2F"/>
    <w:rsid w:val="00C95193"/>
    <w:rsid w:val="00C9578B"/>
    <w:rsid w:val="00C9668D"/>
    <w:rsid w:val="00CA0685"/>
    <w:rsid w:val="00CB6E8F"/>
    <w:rsid w:val="00CD37C0"/>
    <w:rsid w:val="00CD6D65"/>
    <w:rsid w:val="00CE0468"/>
    <w:rsid w:val="00D04D24"/>
    <w:rsid w:val="00D06FEA"/>
    <w:rsid w:val="00D15403"/>
    <w:rsid w:val="00D2558C"/>
    <w:rsid w:val="00D261C4"/>
    <w:rsid w:val="00D65C20"/>
    <w:rsid w:val="00D812AC"/>
    <w:rsid w:val="00D92B2B"/>
    <w:rsid w:val="00DA0E7F"/>
    <w:rsid w:val="00DB37EA"/>
    <w:rsid w:val="00DD50D4"/>
    <w:rsid w:val="00DF632B"/>
    <w:rsid w:val="00E036E2"/>
    <w:rsid w:val="00E352BA"/>
    <w:rsid w:val="00E43DC8"/>
    <w:rsid w:val="00E46AC1"/>
    <w:rsid w:val="00E55180"/>
    <w:rsid w:val="00E567A5"/>
    <w:rsid w:val="00E656D4"/>
    <w:rsid w:val="00E97E53"/>
    <w:rsid w:val="00EA2C4A"/>
    <w:rsid w:val="00EA6F03"/>
    <w:rsid w:val="00EB0AD6"/>
    <w:rsid w:val="00ED06B7"/>
    <w:rsid w:val="00ED0B79"/>
    <w:rsid w:val="00ED60F3"/>
    <w:rsid w:val="00ED6715"/>
    <w:rsid w:val="00EE592F"/>
    <w:rsid w:val="00EF3BC3"/>
    <w:rsid w:val="00F2194D"/>
    <w:rsid w:val="00F33B86"/>
    <w:rsid w:val="00F45BA1"/>
    <w:rsid w:val="00F53B13"/>
    <w:rsid w:val="00F5695B"/>
    <w:rsid w:val="00F81CD0"/>
    <w:rsid w:val="00F85B2C"/>
    <w:rsid w:val="00F91DC2"/>
    <w:rsid w:val="00FA2D71"/>
    <w:rsid w:val="00FB0458"/>
    <w:rsid w:val="00FF12E9"/>
    <w:rsid w:val="024D4F61"/>
    <w:rsid w:val="027B6BD4"/>
    <w:rsid w:val="058856D5"/>
    <w:rsid w:val="060992E9"/>
    <w:rsid w:val="06764668"/>
    <w:rsid w:val="091B2BE3"/>
    <w:rsid w:val="09B55717"/>
    <w:rsid w:val="0A5106AE"/>
    <w:rsid w:val="0E4CF869"/>
    <w:rsid w:val="0F018DF6"/>
    <w:rsid w:val="0F1E4DFD"/>
    <w:rsid w:val="106EEDC1"/>
    <w:rsid w:val="11040F2E"/>
    <w:rsid w:val="11180256"/>
    <w:rsid w:val="12DA5310"/>
    <w:rsid w:val="13965361"/>
    <w:rsid w:val="13F261C8"/>
    <w:rsid w:val="15824C47"/>
    <w:rsid w:val="1733BD93"/>
    <w:rsid w:val="1746975D"/>
    <w:rsid w:val="17DAB252"/>
    <w:rsid w:val="182A00FB"/>
    <w:rsid w:val="1885F71B"/>
    <w:rsid w:val="18EFD4E5"/>
    <w:rsid w:val="1964579D"/>
    <w:rsid w:val="19CBF87A"/>
    <w:rsid w:val="19E20586"/>
    <w:rsid w:val="1A89FE98"/>
    <w:rsid w:val="1A9ED319"/>
    <w:rsid w:val="1AADF8BF"/>
    <w:rsid w:val="1B0B80CA"/>
    <w:rsid w:val="1CB58D93"/>
    <w:rsid w:val="1D24A118"/>
    <w:rsid w:val="1D6709B7"/>
    <w:rsid w:val="1D7FBF76"/>
    <w:rsid w:val="1DAD6D12"/>
    <w:rsid w:val="1DB34B27"/>
    <w:rsid w:val="1E107DE5"/>
    <w:rsid w:val="1E3D5DF2"/>
    <w:rsid w:val="1E64D119"/>
    <w:rsid w:val="2022300D"/>
    <w:rsid w:val="20B8CDFC"/>
    <w:rsid w:val="22EF1D1A"/>
    <w:rsid w:val="234297D8"/>
    <w:rsid w:val="23E7266A"/>
    <w:rsid w:val="2735DA49"/>
    <w:rsid w:val="2808A7DA"/>
    <w:rsid w:val="28246CB2"/>
    <w:rsid w:val="28CBFEE4"/>
    <w:rsid w:val="2B6EDB45"/>
    <w:rsid w:val="2C13E8A7"/>
    <w:rsid w:val="2C785FE4"/>
    <w:rsid w:val="2D02F09E"/>
    <w:rsid w:val="2D505C8B"/>
    <w:rsid w:val="2DC1F0FD"/>
    <w:rsid w:val="2FFB7663"/>
    <w:rsid w:val="2FFE13E3"/>
    <w:rsid w:val="303008C0"/>
    <w:rsid w:val="303A0009"/>
    <w:rsid w:val="31097909"/>
    <w:rsid w:val="313A43EF"/>
    <w:rsid w:val="314C7700"/>
    <w:rsid w:val="314F17D5"/>
    <w:rsid w:val="31CBD921"/>
    <w:rsid w:val="31D7CAEE"/>
    <w:rsid w:val="32619917"/>
    <w:rsid w:val="33673B95"/>
    <w:rsid w:val="339577F5"/>
    <w:rsid w:val="33EF18AB"/>
    <w:rsid w:val="366E57CD"/>
    <w:rsid w:val="383CCD59"/>
    <w:rsid w:val="384B34D6"/>
    <w:rsid w:val="393165A8"/>
    <w:rsid w:val="3A0877D4"/>
    <w:rsid w:val="3A54E460"/>
    <w:rsid w:val="3ABBFEBB"/>
    <w:rsid w:val="3B7EEE87"/>
    <w:rsid w:val="3CF2EE7A"/>
    <w:rsid w:val="3D1EA5F9"/>
    <w:rsid w:val="3FBA2E14"/>
    <w:rsid w:val="41CA8742"/>
    <w:rsid w:val="437743E3"/>
    <w:rsid w:val="44BC20A0"/>
    <w:rsid w:val="489FB7D2"/>
    <w:rsid w:val="4BEB93AD"/>
    <w:rsid w:val="4E099A5B"/>
    <w:rsid w:val="4E572F25"/>
    <w:rsid w:val="4E69661E"/>
    <w:rsid w:val="4FBA08D4"/>
    <w:rsid w:val="5113A7FE"/>
    <w:rsid w:val="51149499"/>
    <w:rsid w:val="513AF095"/>
    <w:rsid w:val="5148DBBC"/>
    <w:rsid w:val="534F3E59"/>
    <w:rsid w:val="543178FD"/>
    <w:rsid w:val="54B495B0"/>
    <w:rsid w:val="54CCF08E"/>
    <w:rsid w:val="560FC257"/>
    <w:rsid w:val="571EBAC4"/>
    <w:rsid w:val="5791AA72"/>
    <w:rsid w:val="57F510C4"/>
    <w:rsid w:val="5865EA65"/>
    <w:rsid w:val="5A6A4276"/>
    <w:rsid w:val="5ACE76E3"/>
    <w:rsid w:val="5AF5D620"/>
    <w:rsid w:val="5B539454"/>
    <w:rsid w:val="5D3F31AF"/>
    <w:rsid w:val="5D95309A"/>
    <w:rsid w:val="5E4B0CB4"/>
    <w:rsid w:val="5E9AA1EF"/>
    <w:rsid w:val="5F395C2A"/>
    <w:rsid w:val="60599C1D"/>
    <w:rsid w:val="60EC922F"/>
    <w:rsid w:val="60F9F832"/>
    <w:rsid w:val="610A7B6D"/>
    <w:rsid w:val="62D71A15"/>
    <w:rsid w:val="6303BE83"/>
    <w:rsid w:val="634888F9"/>
    <w:rsid w:val="6356E705"/>
    <w:rsid w:val="642D95A1"/>
    <w:rsid w:val="655F7397"/>
    <w:rsid w:val="6593544C"/>
    <w:rsid w:val="666FDF17"/>
    <w:rsid w:val="66970F9C"/>
    <w:rsid w:val="67D6F589"/>
    <w:rsid w:val="690106C4"/>
    <w:rsid w:val="6BD1CA51"/>
    <w:rsid w:val="6C806F65"/>
    <w:rsid w:val="6D2E9B5E"/>
    <w:rsid w:val="6D9DDBF2"/>
    <w:rsid w:val="6E99C98E"/>
    <w:rsid w:val="6F57B677"/>
    <w:rsid w:val="6FA4E4A6"/>
    <w:rsid w:val="707EB734"/>
    <w:rsid w:val="70C5D9EA"/>
    <w:rsid w:val="7162BA23"/>
    <w:rsid w:val="71CFF101"/>
    <w:rsid w:val="73FCCFAA"/>
    <w:rsid w:val="74336325"/>
    <w:rsid w:val="744FAA44"/>
    <w:rsid w:val="75DE923C"/>
    <w:rsid w:val="778347B3"/>
    <w:rsid w:val="77F421B4"/>
    <w:rsid w:val="79365914"/>
    <w:rsid w:val="7A5DE7EC"/>
    <w:rsid w:val="7ABAE875"/>
    <w:rsid w:val="7C06D870"/>
    <w:rsid w:val="7C4C501A"/>
    <w:rsid w:val="7DECBF16"/>
    <w:rsid w:val="7F9A9EE3"/>
    <w:rsid w:val="7FF966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FB71"/>
  <w15:chartTrackingRefBased/>
  <w15:docId w15:val="{7B50BDF0-1D6D-4F0E-AB28-9B17FAF9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33B86"/>
  </w:style>
  <w:style w:type="character" w:customStyle="1" w:styleId="eop">
    <w:name w:val="eop"/>
    <w:basedOn w:val="DefaultParagraphFont"/>
    <w:rsid w:val="00F33B86"/>
  </w:style>
  <w:style w:type="paragraph" w:customStyle="1" w:styleId="msonormal0">
    <w:name w:val="msonormal"/>
    <w:basedOn w:val="Normal"/>
    <w:rsid w:val="00F33B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3B86"/>
    <w:pPr>
      <w:ind w:left="720"/>
      <w:contextualSpacing/>
    </w:pPr>
  </w:style>
  <w:style w:type="character" w:styleId="CommentReference">
    <w:name w:val="annotation reference"/>
    <w:basedOn w:val="DefaultParagraphFont"/>
    <w:uiPriority w:val="99"/>
    <w:semiHidden/>
    <w:unhideWhenUsed/>
    <w:rsid w:val="00067D65"/>
    <w:rPr>
      <w:sz w:val="16"/>
      <w:szCs w:val="16"/>
    </w:rPr>
  </w:style>
  <w:style w:type="paragraph" w:styleId="CommentText">
    <w:name w:val="annotation text"/>
    <w:basedOn w:val="Normal"/>
    <w:link w:val="CommentTextChar"/>
    <w:uiPriority w:val="99"/>
    <w:unhideWhenUsed/>
    <w:rsid w:val="00067D65"/>
    <w:pPr>
      <w:spacing w:line="240" w:lineRule="auto"/>
    </w:pPr>
    <w:rPr>
      <w:sz w:val="20"/>
      <w:szCs w:val="20"/>
    </w:rPr>
  </w:style>
  <w:style w:type="character" w:customStyle="1" w:styleId="CommentTextChar">
    <w:name w:val="Comment Text Char"/>
    <w:basedOn w:val="DefaultParagraphFont"/>
    <w:link w:val="CommentText"/>
    <w:uiPriority w:val="99"/>
    <w:rsid w:val="00067D65"/>
    <w:rPr>
      <w:sz w:val="20"/>
      <w:szCs w:val="20"/>
    </w:rPr>
  </w:style>
  <w:style w:type="paragraph" w:styleId="CommentSubject">
    <w:name w:val="annotation subject"/>
    <w:basedOn w:val="CommentText"/>
    <w:next w:val="CommentText"/>
    <w:link w:val="CommentSubjectChar"/>
    <w:uiPriority w:val="99"/>
    <w:semiHidden/>
    <w:unhideWhenUsed/>
    <w:rsid w:val="00067D65"/>
    <w:rPr>
      <w:b/>
      <w:bCs/>
    </w:rPr>
  </w:style>
  <w:style w:type="character" w:customStyle="1" w:styleId="CommentSubjectChar">
    <w:name w:val="Comment Subject Char"/>
    <w:basedOn w:val="CommentTextChar"/>
    <w:link w:val="CommentSubject"/>
    <w:uiPriority w:val="99"/>
    <w:semiHidden/>
    <w:rsid w:val="00067D65"/>
    <w:rPr>
      <w:b/>
      <w:bCs/>
      <w:sz w:val="20"/>
      <w:szCs w:val="20"/>
    </w:rPr>
  </w:style>
  <w:style w:type="paragraph" w:customStyle="1" w:styleId="paragraph">
    <w:name w:val="paragraph"/>
    <w:basedOn w:val="Normal"/>
    <w:rsid w:val="003425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8726E2"/>
    <w:rPr>
      <w:color w:val="605E5C"/>
      <w:shd w:val="clear" w:color="auto" w:fill="E1DFDD"/>
    </w:rPr>
  </w:style>
  <w:style w:type="paragraph" w:customStyle="1" w:styleId="pf0">
    <w:name w:val="pf0"/>
    <w:basedOn w:val="Normal"/>
    <w:rsid w:val="009920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920BA"/>
    <w:rPr>
      <w:rFonts w:ascii="Segoe UI" w:hAnsi="Segoe UI" w:cs="Segoe UI" w:hint="default"/>
      <w:sz w:val="18"/>
      <w:szCs w:val="18"/>
    </w:rPr>
  </w:style>
  <w:style w:type="paragraph" w:styleId="Revision">
    <w:name w:val="Revision"/>
    <w:hidden/>
    <w:uiPriority w:val="99"/>
    <w:semiHidden/>
    <w:rsid w:val="00692F63"/>
    <w:pPr>
      <w:spacing w:after="0" w:line="240" w:lineRule="auto"/>
    </w:pPr>
  </w:style>
  <w:style w:type="character" w:styleId="Mention">
    <w:name w:val="Mention"/>
    <w:basedOn w:val="DefaultParagraphFont"/>
    <w:uiPriority w:val="99"/>
    <w:unhideWhenUsed/>
    <w:rsid w:val="008130D4"/>
    <w:rPr>
      <w:color w:val="2B579A"/>
      <w:shd w:val="clear" w:color="auto" w:fill="E1DFDD"/>
    </w:rPr>
  </w:style>
  <w:style w:type="table" w:styleId="TableGrid">
    <w:name w:val="Table Grid"/>
    <w:basedOn w:val="TableNormal"/>
    <w:uiPriority w:val="39"/>
    <w:rsid w:val="002A3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049318">
      <w:bodyDiv w:val="1"/>
      <w:marLeft w:val="0"/>
      <w:marRight w:val="0"/>
      <w:marTop w:val="0"/>
      <w:marBottom w:val="0"/>
      <w:divBdr>
        <w:top w:val="none" w:sz="0" w:space="0" w:color="auto"/>
        <w:left w:val="none" w:sz="0" w:space="0" w:color="auto"/>
        <w:bottom w:val="none" w:sz="0" w:space="0" w:color="auto"/>
        <w:right w:val="none" w:sz="0" w:space="0" w:color="auto"/>
      </w:divBdr>
    </w:div>
    <w:div w:id="1425149980">
      <w:bodyDiv w:val="1"/>
      <w:marLeft w:val="0"/>
      <w:marRight w:val="0"/>
      <w:marTop w:val="0"/>
      <w:marBottom w:val="0"/>
      <w:divBdr>
        <w:top w:val="none" w:sz="0" w:space="0" w:color="auto"/>
        <w:left w:val="none" w:sz="0" w:space="0" w:color="auto"/>
        <w:bottom w:val="none" w:sz="0" w:space="0" w:color="auto"/>
        <w:right w:val="none" w:sz="0" w:space="0" w:color="auto"/>
      </w:divBdr>
    </w:div>
    <w:div w:id="194041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i.liverpoolcityregion-ca.gov.uk/wp-content/uploads/2023/10/LCRCA-Five-Year-Climate-Action-Plan-2023-2028-Digital.pdf" TargetMode="External"/><Relationship Id="rId18" Type="http://schemas.openxmlformats.org/officeDocument/2006/relationships/hyperlink" Target="https://www.liverpoolcityregion-ca.gov.uk/governance/social-value-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iverpoolcityregion-ca.gov.uk/fair-employment-charter" TargetMode="External"/><Relationship Id="rId17" Type="http://schemas.openxmlformats.org/officeDocument/2006/relationships/hyperlink" Target="https://www.liverpoolcityregion-ca.gov.uk/growing-our-economy/plan-for-prosperity/" TargetMode="External"/><Relationship Id="rId2" Type="http://schemas.openxmlformats.org/officeDocument/2006/relationships/customXml" Target="../customXml/item2.xml"/><Relationship Id="rId16" Type="http://schemas.openxmlformats.org/officeDocument/2006/relationships/hyperlink" Target="https://www.gov.uk/guidance/uk-shared-prosperity-fund-outputs-and-outcomes-definitions-2" TargetMode="External"/><Relationship Id="rId20" Type="http://schemas.openxmlformats.org/officeDocument/2006/relationships/hyperlink" Target="https://api.liverpoolcityregion-ca.gov.uk/wp-content/uploads/2023/10/LCRCA-Five-Year-Climate-Action-Plan-2023-2028-Digit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erpoolcityregion-ca.gov.uk/growing-our-economy/plan-for-prosperity/" TargetMode="External"/><Relationship Id="rId5" Type="http://schemas.openxmlformats.org/officeDocument/2006/relationships/numbering" Target="numbering.xml"/><Relationship Id="rId15" Type="http://schemas.openxmlformats.org/officeDocument/2006/relationships/hyperlink" Target="https://www.gov.uk/government/publications/uk-shared-prosperity-fund-interventions-outputs-and-indicators/interventions-list-for-england" TargetMode="External"/><Relationship Id="rId10" Type="http://schemas.openxmlformats.org/officeDocument/2006/relationships/hyperlink" Target="mailto:UKSPF@liverpoolcityregion-ca.gov.uk" TargetMode="External"/><Relationship Id="rId19" Type="http://schemas.openxmlformats.org/officeDocument/2006/relationships/hyperlink" Target="https://www.liverpoolcityregion-ca.gov.uk/fair-employment-charter"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gov.uk/government/publications/uk-shared-prosperity-fund-interventions-outputs-and-indicat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c08f4e-f6ee-4095-a8f3-6c9d7e3801d0" xsi:nil="true"/>
    <lcf76f155ced4ddcb4097134ff3c332f xmlns="fe285432-0e1c-43a7-89c7-3a34a0aaa57f">
      <Terms xmlns="http://schemas.microsoft.com/office/infopath/2007/PartnerControls"/>
    </lcf76f155ced4ddcb4097134ff3c332f>
    <SharedWithUsers xmlns="5ac08f4e-f6ee-4095-a8f3-6c9d7e3801d0">
      <UserInfo>
        <DisplayName>Davies, Sara</DisplayName>
        <AccountId>134</AccountId>
        <AccountType/>
      </UserInfo>
      <UserInfo>
        <DisplayName>Martins, Olly</DisplayName>
        <AccountId>46</AccountId>
        <AccountType/>
      </UserInfo>
      <UserInfo>
        <DisplayName>Wight, Francis</DisplayName>
        <AccountId>19</AccountId>
        <AccountType/>
      </UserInfo>
      <UserInfo>
        <DisplayName>Burroughes, Gareth</DisplayName>
        <AccountId>56</AccountId>
        <AccountType/>
      </UserInfo>
      <UserInfo>
        <DisplayName>Leek, Joanne</DisplayName>
        <AccountId>18</AccountId>
        <AccountType/>
      </UserInfo>
      <UserInfo>
        <DisplayName>Ward, Kitty</DisplayName>
        <AccountId>116</AccountId>
        <AccountType/>
      </UserInfo>
      <UserInfo>
        <DisplayName>Bennett, Sara</DisplayName>
        <AccountId>239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E8AB12A010804EAA726936AAEF4697" ma:contentTypeVersion="16" ma:contentTypeDescription="Create a new document." ma:contentTypeScope="" ma:versionID="f8fa69ae849ff07b704c4cf96326f09a">
  <xsd:schema xmlns:xsd="http://www.w3.org/2001/XMLSchema" xmlns:xs="http://www.w3.org/2001/XMLSchema" xmlns:p="http://schemas.microsoft.com/office/2006/metadata/properties" xmlns:ns2="fe285432-0e1c-43a7-89c7-3a34a0aaa57f" xmlns:ns3="5ac08f4e-f6ee-4095-a8f3-6c9d7e3801d0" targetNamespace="http://schemas.microsoft.com/office/2006/metadata/properties" ma:root="true" ma:fieldsID="139be15003198333d05a5c328fd94c1d" ns2:_="" ns3:_="">
    <xsd:import namespace="fe285432-0e1c-43a7-89c7-3a34a0aaa57f"/>
    <xsd:import namespace="5ac08f4e-f6ee-4095-a8f3-6c9d7e3801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85432-0e1c-43a7-89c7-3a34a0aaa5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aec11d-c73a-4c0b-be9b-b3f45a7f0e2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08f4e-f6ee-4095-a8f3-6c9d7e3801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e6b20ad-2d27-4f82-a7cd-5e61cf170899}" ma:internalName="TaxCatchAll" ma:showField="CatchAllData" ma:web="5ac08f4e-f6ee-4095-a8f3-6c9d7e3801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5704CE-61F3-4BD4-8836-5E2653BBA1CC}">
  <ds:schemaRefs>
    <ds:schemaRef ds:uri="http://schemas.microsoft.com/office/2006/metadata/properties"/>
    <ds:schemaRef ds:uri="fe285432-0e1c-43a7-89c7-3a34a0aaa57f"/>
    <ds:schemaRef ds:uri="http://purl.org/dc/terms/"/>
    <ds:schemaRef ds:uri="http://schemas.microsoft.com/office/2006/documentManagement/types"/>
    <ds:schemaRef ds:uri="http://schemas.openxmlformats.org/package/2006/metadata/core-properties"/>
    <ds:schemaRef ds:uri="5ac08f4e-f6ee-4095-a8f3-6c9d7e3801d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DB37D65-2B96-4E9F-BC65-25D4F3EBBF7B}">
  <ds:schemaRefs>
    <ds:schemaRef ds:uri="http://schemas.openxmlformats.org/officeDocument/2006/bibliography"/>
  </ds:schemaRefs>
</ds:datastoreItem>
</file>

<file path=customXml/itemProps3.xml><?xml version="1.0" encoding="utf-8"?>
<ds:datastoreItem xmlns:ds="http://schemas.openxmlformats.org/officeDocument/2006/customXml" ds:itemID="{2EA0B819-3C4A-4B0C-9AE4-7678A475E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85432-0e1c-43a7-89c7-3a34a0aaa57f"/>
    <ds:schemaRef ds:uri="5ac08f4e-f6ee-4095-a8f3-6c9d7e380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1C50C-C532-4FB5-9DAF-D2A5DAFA6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1590</Words>
  <Characters>9067</Characters>
  <Application>Microsoft Office Word</Application>
  <DocSecurity>0</DocSecurity>
  <Lines>75</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Sara</dc:creator>
  <cp:keywords/>
  <dc:description/>
  <cp:lastModifiedBy>Bennett, Sara</cp:lastModifiedBy>
  <cp:revision>2</cp:revision>
  <dcterms:created xsi:type="dcterms:W3CDTF">2023-11-13T10:28:00Z</dcterms:created>
  <dcterms:modified xsi:type="dcterms:W3CDTF">2023-11-13T10:28:00Z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0x0101008AE8AB12A010804EAA726936AAEF4697</vt:lpwstr>
  </property>
  <property fmtid="{D5CDD505-2E9C-101B-9397-08002B2CF9AE}" pid="3" name="MediaServiceImageTags">
    <vt:lpwstr/>
  </property>
</Properties>
</file>